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45" w:rsidRPr="00FE4B89" w:rsidRDefault="007A7E45" w:rsidP="00FE4B89">
      <w:bookmarkStart w:id="0" w:name="_GoBack"/>
      <w:bookmarkEnd w:id="0"/>
    </w:p>
    <w:p w:rsidR="00F244BA" w:rsidRDefault="00AC19E4">
      <w:pPr>
        <w:pStyle w:val="Naslov2"/>
      </w:pPr>
      <w:r>
        <w:t>06505 Ministarstvo mora, prometa i infrastrukture</w:t>
      </w:r>
    </w:p>
    <w:p w:rsidR="00F244BA" w:rsidRDefault="00AC19E4">
      <w:r>
        <w:t>Najznačajniji poslovi i zadaci na razini Glave Ministarstva mora, prometa i infrastrukture u narednom trogodišnjem razdoblju su stvaranje uvjeta i izgradnja kapaciteta koji će osigurati izradu kvalitetnih zakona i ostalih propisa te njihovo provođenje vezano uz zaštitu mora, pomorskog dobra i vodnih putova unutarnjih voda, osiguranje prometne povezanosti otoka međusobno i s kopnom, postizanje visoke razvijenosti elektroničkih komunikacija i tržišta poštanskih usluga, organiziranje izrade strateških infrastrukturnih projekata i investicijskih programa od posebnog značaja za Republiku Hrvatsku, organiziranje radova na izgradnji suvremene prometne infrastrukture, koja će prometno povezati sve regije i razviti sve vidova prometa uz visok stupanj profesionalnosti i sigurnosti u pružanju prijevoznih usluga te poduzimanje svih mjera zaštite okoliša u prometu.</w:t>
      </w:r>
    </w:p>
    <w:tbl>
      <w:tblPr>
        <w:tblStyle w:val="StilTablice"/>
        <w:tblW w:w="10206" w:type="dxa"/>
        <w:jc w:val="center"/>
        <w:tblLook w:val="04A0" w:firstRow="1" w:lastRow="0" w:firstColumn="1" w:lastColumn="0" w:noHBand="0" w:noVBand="1"/>
      </w:tblPr>
      <w:tblGrid>
        <w:gridCol w:w="1892"/>
        <w:gridCol w:w="1968"/>
        <w:gridCol w:w="1968"/>
        <w:gridCol w:w="1968"/>
        <w:gridCol w:w="1200"/>
        <w:gridCol w:w="1210"/>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vAlign w:val="top"/>
          </w:tcPr>
          <w:p w:rsidR="00F244BA" w:rsidRDefault="00AC19E4">
            <w:pPr>
              <w:pStyle w:val="CellColumn"/>
              <w:jc w:val="left"/>
            </w:pPr>
            <w:r>
              <w:rPr>
                <w:rFonts w:cs="Times New Roman"/>
              </w:rPr>
              <w:t>06505-Ministarstvo mora, prometa i infrastrukture</w:t>
            </w:r>
          </w:p>
        </w:tc>
        <w:tc>
          <w:tcPr>
            <w:tcW w:w="2041" w:type="dxa"/>
            <w:vAlign w:val="top"/>
          </w:tcPr>
          <w:p w:rsidR="00F244BA" w:rsidRDefault="00AC19E4">
            <w:pPr>
              <w:pStyle w:val="CellColumn"/>
              <w:jc w:val="right"/>
            </w:pPr>
            <w:r>
              <w:rPr>
                <w:rFonts w:cs="Times New Roman"/>
              </w:rPr>
              <w:t>1.565.224.101</w:t>
            </w:r>
          </w:p>
        </w:tc>
        <w:tc>
          <w:tcPr>
            <w:tcW w:w="2041" w:type="dxa"/>
            <w:vAlign w:val="top"/>
          </w:tcPr>
          <w:p w:rsidR="00F244BA" w:rsidRDefault="00AC19E4">
            <w:pPr>
              <w:pStyle w:val="CellColumn"/>
              <w:jc w:val="right"/>
            </w:pPr>
            <w:r>
              <w:rPr>
                <w:rFonts w:cs="Times New Roman"/>
              </w:rPr>
              <w:t>1.258.730.088</w:t>
            </w:r>
          </w:p>
        </w:tc>
        <w:tc>
          <w:tcPr>
            <w:tcW w:w="2041" w:type="dxa"/>
            <w:vAlign w:val="top"/>
          </w:tcPr>
          <w:p w:rsidR="00F244BA" w:rsidRDefault="00AC19E4">
            <w:pPr>
              <w:pStyle w:val="CellColumn"/>
              <w:jc w:val="right"/>
            </w:pPr>
            <w:r>
              <w:rPr>
                <w:rFonts w:cs="Times New Roman"/>
              </w:rPr>
              <w:t>1.225.118.349</w:t>
            </w:r>
          </w:p>
        </w:tc>
        <w:tc>
          <w:tcPr>
            <w:tcW w:w="1224" w:type="dxa"/>
            <w:vAlign w:val="top"/>
          </w:tcPr>
          <w:p w:rsidR="00F244BA" w:rsidRDefault="00AC19E4">
            <w:pPr>
              <w:pStyle w:val="CellColumn"/>
              <w:jc w:val="right"/>
            </w:pPr>
            <w:r>
              <w:rPr>
                <w:rFonts w:cs="Times New Roman"/>
              </w:rPr>
              <w:t>97,3</w:t>
            </w:r>
          </w:p>
        </w:tc>
        <w:tc>
          <w:tcPr>
            <w:tcW w:w="1224" w:type="dxa"/>
            <w:vAlign w:val="top"/>
          </w:tcPr>
          <w:p w:rsidR="00F244BA" w:rsidRDefault="00AC19E4">
            <w:pPr>
              <w:pStyle w:val="CellColumn"/>
              <w:jc w:val="right"/>
            </w:pPr>
            <w:r>
              <w:rPr>
                <w:rFonts w:cs="Times New Roman"/>
              </w:rPr>
              <w:t>78,3</w:t>
            </w:r>
          </w:p>
        </w:tc>
      </w:tr>
      <w:tr w:rsidR="00F244BA">
        <w:trPr>
          <w:jc w:val="center"/>
        </w:trPr>
        <w:tc>
          <w:tcPr>
            <w:tcW w:w="1632" w:type="dxa"/>
          </w:tcPr>
          <w:p w:rsidR="00F244BA" w:rsidRDefault="00AC19E4">
            <w:pPr>
              <w:jc w:val="left"/>
            </w:pPr>
            <w:r>
              <w:t>3101-UPRAVLJANJE NA PODRUČJU PROMETNE POLITIKE</w:t>
            </w:r>
          </w:p>
        </w:tc>
        <w:tc>
          <w:tcPr>
            <w:tcW w:w="2041" w:type="dxa"/>
          </w:tcPr>
          <w:p w:rsidR="00F244BA" w:rsidRDefault="00AC19E4">
            <w:pPr>
              <w:jc w:val="right"/>
            </w:pPr>
            <w:r>
              <w:t>15.217.615</w:t>
            </w:r>
          </w:p>
        </w:tc>
        <w:tc>
          <w:tcPr>
            <w:tcW w:w="2041" w:type="dxa"/>
          </w:tcPr>
          <w:p w:rsidR="00F244BA" w:rsidRDefault="00AC19E4">
            <w:pPr>
              <w:jc w:val="right"/>
            </w:pPr>
            <w:r>
              <w:t>21.399.757</w:t>
            </w:r>
          </w:p>
        </w:tc>
        <w:tc>
          <w:tcPr>
            <w:tcW w:w="2041" w:type="dxa"/>
          </w:tcPr>
          <w:p w:rsidR="00F244BA" w:rsidRDefault="00AC19E4">
            <w:pPr>
              <w:jc w:val="right"/>
            </w:pPr>
            <w:r>
              <w:t>18.225.808</w:t>
            </w:r>
          </w:p>
        </w:tc>
        <w:tc>
          <w:tcPr>
            <w:tcW w:w="1224" w:type="dxa"/>
          </w:tcPr>
          <w:p w:rsidR="00F244BA" w:rsidRDefault="00AC19E4">
            <w:pPr>
              <w:jc w:val="right"/>
            </w:pPr>
            <w:r>
              <w:t>85,2</w:t>
            </w:r>
          </w:p>
        </w:tc>
        <w:tc>
          <w:tcPr>
            <w:tcW w:w="1224" w:type="dxa"/>
          </w:tcPr>
          <w:p w:rsidR="00F244BA" w:rsidRDefault="00AC19E4">
            <w:pPr>
              <w:jc w:val="right"/>
            </w:pPr>
            <w:r>
              <w:t>119,8</w:t>
            </w:r>
          </w:p>
        </w:tc>
      </w:tr>
      <w:tr w:rsidR="00F244BA">
        <w:trPr>
          <w:jc w:val="center"/>
        </w:trPr>
        <w:tc>
          <w:tcPr>
            <w:tcW w:w="1632" w:type="dxa"/>
          </w:tcPr>
          <w:p w:rsidR="00F244BA" w:rsidRDefault="00AC19E4">
            <w:pPr>
              <w:jc w:val="left"/>
            </w:pPr>
            <w:r>
              <w:t>3107-RAZVOJ TRŽIŠTA POŠTANSKIH USLUGA I ELEKTRONIČKIH KOMUNIKACIJA</w:t>
            </w:r>
          </w:p>
        </w:tc>
        <w:tc>
          <w:tcPr>
            <w:tcW w:w="2041" w:type="dxa"/>
          </w:tcPr>
          <w:p w:rsidR="00F244BA" w:rsidRDefault="00AC19E4">
            <w:pPr>
              <w:jc w:val="right"/>
            </w:pPr>
            <w:r>
              <w:t>14.941.933</w:t>
            </w:r>
          </w:p>
        </w:tc>
        <w:tc>
          <w:tcPr>
            <w:tcW w:w="2041" w:type="dxa"/>
          </w:tcPr>
          <w:p w:rsidR="00F244BA" w:rsidRDefault="00AC19E4">
            <w:pPr>
              <w:jc w:val="right"/>
            </w:pPr>
            <w:r>
              <w:t>25.354.519</w:t>
            </w:r>
          </w:p>
        </w:tc>
        <w:tc>
          <w:tcPr>
            <w:tcW w:w="2041" w:type="dxa"/>
          </w:tcPr>
          <w:p w:rsidR="00F244BA" w:rsidRDefault="00AC19E4">
            <w:pPr>
              <w:jc w:val="right"/>
            </w:pPr>
            <w:r>
              <w:t>25.290.442</w:t>
            </w:r>
          </w:p>
        </w:tc>
        <w:tc>
          <w:tcPr>
            <w:tcW w:w="1224" w:type="dxa"/>
          </w:tcPr>
          <w:p w:rsidR="00F244BA" w:rsidRDefault="00AC19E4">
            <w:pPr>
              <w:jc w:val="right"/>
            </w:pPr>
            <w:r>
              <w:t>99,7</w:t>
            </w:r>
          </w:p>
        </w:tc>
        <w:tc>
          <w:tcPr>
            <w:tcW w:w="1224" w:type="dxa"/>
          </w:tcPr>
          <w:p w:rsidR="00F244BA" w:rsidRDefault="00AC19E4">
            <w:pPr>
              <w:jc w:val="right"/>
            </w:pPr>
            <w:r>
              <w:t>169,3</w:t>
            </w:r>
          </w:p>
        </w:tc>
      </w:tr>
      <w:tr w:rsidR="00F244BA">
        <w:trPr>
          <w:jc w:val="center"/>
        </w:trPr>
        <w:tc>
          <w:tcPr>
            <w:tcW w:w="1632" w:type="dxa"/>
          </w:tcPr>
          <w:p w:rsidR="00F244BA" w:rsidRDefault="00AC19E4">
            <w:pPr>
              <w:jc w:val="left"/>
            </w:pPr>
            <w:r>
              <w:t>3109-SIGURNOST PLOVIDBE</w:t>
            </w:r>
          </w:p>
        </w:tc>
        <w:tc>
          <w:tcPr>
            <w:tcW w:w="2041" w:type="dxa"/>
          </w:tcPr>
          <w:p w:rsidR="00F244BA" w:rsidRDefault="00AC19E4">
            <w:pPr>
              <w:jc w:val="right"/>
            </w:pPr>
            <w:r>
              <w:t>26.404.823</w:t>
            </w:r>
          </w:p>
        </w:tc>
        <w:tc>
          <w:tcPr>
            <w:tcW w:w="2041" w:type="dxa"/>
          </w:tcPr>
          <w:p w:rsidR="00F244BA" w:rsidRDefault="00AC19E4">
            <w:pPr>
              <w:jc w:val="right"/>
            </w:pPr>
            <w:r>
              <w:t>39.169.689</w:t>
            </w:r>
          </w:p>
        </w:tc>
        <w:tc>
          <w:tcPr>
            <w:tcW w:w="2041" w:type="dxa"/>
          </w:tcPr>
          <w:p w:rsidR="00F244BA" w:rsidRDefault="00AC19E4">
            <w:pPr>
              <w:jc w:val="right"/>
            </w:pPr>
            <w:r>
              <w:t>30.593.584</w:t>
            </w:r>
          </w:p>
        </w:tc>
        <w:tc>
          <w:tcPr>
            <w:tcW w:w="1224" w:type="dxa"/>
          </w:tcPr>
          <w:p w:rsidR="00F244BA" w:rsidRDefault="00AC19E4">
            <w:pPr>
              <w:jc w:val="right"/>
            </w:pPr>
            <w:r>
              <w:t>78,1</w:t>
            </w:r>
          </w:p>
        </w:tc>
        <w:tc>
          <w:tcPr>
            <w:tcW w:w="1224" w:type="dxa"/>
          </w:tcPr>
          <w:p w:rsidR="00F244BA" w:rsidRDefault="00AC19E4">
            <w:pPr>
              <w:jc w:val="right"/>
            </w:pPr>
            <w:r>
              <w:t>115,9</w:t>
            </w:r>
          </w:p>
        </w:tc>
      </w:tr>
      <w:tr w:rsidR="00F244BA">
        <w:trPr>
          <w:jc w:val="center"/>
        </w:trPr>
        <w:tc>
          <w:tcPr>
            <w:tcW w:w="1632" w:type="dxa"/>
          </w:tcPr>
          <w:p w:rsidR="00F244BA" w:rsidRDefault="00AC19E4">
            <w:pPr>
              <w:jc w:val="left"/>
            </w:pPr>
            <w:r>
              <w:t>3110-IZGRADNJA I ODRŽAVANJE CESTOVNE INFRASTRUKTURE</w:t>
            </w:r>
          </w:p>
        </w:tc>
        <w:tc>
          <w:tcPr>
            <w:tcW w:w="2041" w:type="dxa"/>
          </w:tcPr>
          <w:p w:rsidR="00F244BA" w:rsidRDefault="00AC19E4">
            <w:pPr>
              <w:jc w:val="right"/>
            </w:pPr>
            <w:r>
              <w:t>452.110.792</w:t>
            </w:r>
          </w:p>
        </w:tc>
        <w:tc>
          <w:tcPr>
            <w:tcW w:w="2041" w:type="dxa"/>
          </w:tcPr>
          <w:p w:rsidR="00F244BA" w:rsidRDefault="00AC19E4">
            <w:pPr>
              <w:jc w:val="right"/>
            </w:pPr>
            <w:r>
              <w:t>462.107.965</w:t>
            </w:r>
          </w:p>
        </w:tc>
        <w:tc>
          <w:tcPr>
            <w:tcW w:w="2041" w:type="dxa"/>
          </w:tcPr>
          <w:p w:rsidR="00F244BA" w:rsidRDefault="00AC19E4">
            <w:pPr>
              <w:jc w:val="right"/>
            </w:pPr>
            <w:r>
              <w:t>459.460.001</w:t>
            </w:r>
          </w:p>
        </w:tc>
        <w:tc>
          <w:tcPr>
            <w:tcW w:w="1224" w:type="dxa"/>
          </w:tcPr>
          <w:p w:rsidR="00F244BA" w:rsidRDefault="00AC19E4">
            <w:pPr>
              <w:jc w:val="right"/>
            </w:pPr>
            <w:r>
              <w:t>99,4</w:t>
            </w:r>
          </w:p>
        </w:tc>
        <w:tc>
          <w:tcPr>
            <w:tcW w:w="1224" w:type="dxa"/>
          </w:tcPr>
          <w:p w:rsidR="00F244BA" w:rsidRDefault="00AC19E4">
            <w:pPr>
              <w:jc w:val="right"/>
            </w:pPr>
            <w:r>
              <w:t>101,6</w:t>
            </w:r>
          </w:p>
        </w:tc>
      </w:tr>
      <w:tr w:rsidR="00F244BA">
        <w:trPr>
          <w:jc w:val="center"/>
        </w:trPr>
        <w:tc>
          <w:tcPr>
            <w:tcW w:w="1632" w:type="dxa"/>
          </w:tcPr>
          <w:p w:rsidR="00F244BA" w:rsidRDefault="00AC19E4">
            <w:pPr>
              <w:jc w:val="left"/>
            </w:pPr>
            <w:r>
              <w:t>3111-PRIPREMA I PROVEDBA PROJEKATA SUFINANCIRANIH SREDSTVIMA FONDOVA EU</w:t>
            </w:r>
          </w:p>
        </w:tc>
        <w:tc>
          <w:tcPr>
            <w:tcW w:w="2041" w:type="dxa"/>
          </w:tcPr>
          <w:p w:rsidR="00F244BA" w:rsidRDefault="00AC19E4">
            <w:pPr>
              <w:jc w:val="right"/>
            </w:pPr>
            <w:r>
              <w:t>655.142.659</w:t>
            </w:r>
          </w:p>
        </w:tc>
        <w:tc>
          <w:tcPr>
            <w:tcW w:w="2041" w:type="dxa"/>
          </w:tcPr>
          <w:p w:rsidR="00F244BA" w:rsidRDefault="00AC19E4">
            <w:pPr>
              <w:jc w:val="right"/>
            </w:pPr>
            <w:r>
              <w:t>177.906.547</w:t>
            </w:r>
          </w:p>
        </w:tc>
        <w:tc>
          <w:tcPr>
            <w:tcW w:w="2041" w:type="dxa"/>
          </w:tcPr>
          <w:p w:rsidR="00F244BA" w:rsidRDefault="00AC19E4">
            <w:pPr>
              <w:jc w:val="right"/>
            </w:pPr>
            <w:r>
              <w:t>170.561.220</w:t>
            </w:r>
          </w:p>
        </w:tc>
        <w:tc>
          <w:tcPr>
            <w:tcW w:w="1224" w:type="dxa"/>
          </w:tcPr>
          <w:p w:rsidR="00F244BA" w:rsidRDefault="00AC19E4">
            <w:pPr>
              <w:jc w:val="right"/>
            </w:pPr>
            <w:r>
              <w:t>95,9</w:t>
            </w:r>
          </w:p>
        </w:tc>
        <w:tc>
          <w:tcPr>
            <w:tcW w:w="1224" w:type="dxa"/>
          </w:tcPr>
          <w:p w:rsidR="00F244BA" w:rsidRDefault="00AC19E4">
            <w:pPr>
              <w:jc w:val="right"/>
            </w:pPr>
            <w:r>
              <w:t>26,0</w:t>
            </w:r>
          </w:p>
        </w:tc>
      </w:tr>
      <w:tr w:rsidR="00F244BA">
        <w:trPr>
          <w:jc w:val="center"/>
        </w:trPr>
        <w:tc>
          <w:tcPr>
            <w:tcW w:w="1632" w:type="dxa"/>
          </w:tcPr>
          <w:p w:rsidR="00F244BA" w:rsidRDefault="00AC19E4">
            <w:pPr>
              <w:jc w:val="left"/>
            </w:pPr>
            <w:r>
              <w:t>3112-INSPEKCIJSKI NADZOR CESTOVNOG PROMETA, CESTA I ŽIČARA</w:t>
            </w:r>
          </w:p>
        </w:tc>
        <w:tc>
          <w:tcPr>
            <w:tcW w:w="2041" w:type="dxa"/>
          </w:tcPr>
          <w:p w:rsidR="00F244BA" w:rsidRDefault="00AC19E4">
            <w:pPr>
              <w:jc w:val="right"/>
            </w:pPr>
            <w:r>
              <w:t>1.319.790</w:t>
            </w:r>
          </w:p>
        </w:tc>
        <w:tc>
          <w:tcPr>
            <w:tcW w:w="2041" w:type="dxa"/>
          </w:tcPr>
          <w:p w:rsidR="00F244BA" w:rsidRDefault="00AC19E4">
            <w:pPr>
              <w:jc w:val="right"/>
            </w:pPr>
            <w:r>
              <w:t>1.580.067</w:t>
            </w:r>
          </w:p>
        </w:tc>
        <w:tc>
          <w:tcPr>
            <w:tcW w:w="2041" w:type="dxa"/>
          </w:tcPr>
          <w:p w:rsidR="00F244BA" w:rsidRDefault="00AC19E4">
            <w:pPr>
              <w:jc w:val="right"/>
            </w:pPr>
            <w:r>
              <w:t>595.318</w:t>
            </w:r>
          </w:p>
        </w:tc>
        <w:tc>
          <w:tcPr>
            <w:tcW w:w="1224" w:type="dxa"/>
          </w:tcPr>
          <w:p w:rsidR="00F244BA" w:rsidRDefault="00AC19E4">
            <w:pPr>
              <w:jc w:val="right"/>
            </w:pPr>
            <w:r>
              <w:t>37,7</w:t>
            </w:r>
          </w:p>
        </w:tc>
        <w:tc>
          <w:tcPr>
            <w:tcW w:w="1224" w:type="dxa"/>
          </w:tcPr>
          <w:p w:rsidR="00F244BA" w:rsidRDefault="00AC19E4">
            <w:pPr>
              <w:jc w:val="right"/>
            </w:pPr>
            <w:r>
              <w:t>45,1</w:t>
            </w:r>
          </w:p>
        </w:tc>
      </w:tr>
      <w:tr w:rsidR="00F244BA">
        <w:trPr>
          <w:jc w:val="center"/>
        </w:trPr>
        <w:tc>
          <w:tcPr>
            <w:tcW w:w="1632" w:type="dxa"/>
          </w:tcPr>
          <w:p w:rsidR="00F244BA" w:rsidRDefault="00AC19E4">
            <w:pPr>
              <w:jc w:val="left"/>
            </w:pPr>
            <w:r>
              <w:t>3113-RAZVOJ SUSTAVA ZRAČNOG PROMETA</w:t>
            </w:r>
          </w:p>
        </w:tc>
        <w:tc>
          <w:tcPr>
            <w:tcW w:w="2041" w:type="dxa"/>
          </w:tcPr>
          <w:p w:rsidR="00F244BA" w:rsidRDefault="00AC19E4">
            <w:pPr>
              <w:jc w:val="right"/>
            </w:pPr>
            <w:r>
              <w:t>26.922.367</w:t>
            </w:r>
          </w:p>
        </w:tc>
        <w:tc>
          <w:tcPr>
            <w:tcW w:w="2041" w:type="dxa"/>
          </w:tcPr>
          <w:p w:rsidR="00F244BA" w:rsidRDefault="00AC19E4">
            <w:pPr>
              <w:jc w:val="right"/>
            </w:pPr>
            <w:r>
              <w:t>28.711.856</w:t>
            </w:r>
          </w:p>
        </w:tc>
        <w:tc>
          <w:tcPr>
            <w:tcW w:w="2041" w:type="dxa"/>
          </w:tcPr>
          <w:p w:rsidR="00F244BA" w:rsidRDefault="00AC19E4">
            <w:pPr>
              <w:jc w:val="right"/>
            </w:pPr>
            <w:r>
              <w:t>26.629.115</w:t>
            </w:r>
          </w:p>
        </w:tc>
        <w:tc>
          <w:tcPr>
            <w:tcW w:w="1224" w:type="dxa"/>
          </w:tcPr>
          <w:p w:rsidR="00F244BA" w:rsidRDefault="00AC19E4">
            <w:pPr>
              <w:jc w:val="right"/>
            </w:pPr>
            <w:r>
              <w:t>92,7</w:t>
            </w:r>
          </w:p>
        </w:tc>
        <w:tc>
          <w:tcPr>
            <w:tcW w:w="1224" w:type="dxa"/>
          </w:tcPr>
          <w:p w:rsidR="00F244BA" w:rsidRDefault="00AC19E4">
            <w:pPr>
              <w:jc w:val="right"/>
            </w:pPr>
            <w:r>
              <w:t>98,9</w:t>
            </w:r>
          </w:p>
        </w:tc>
      </w:tr>
      <w:tr w:rsidR="00F244BA">
        <w:trPr>
          <w:jc w:val="center"/>
        </w:trPr>
        <w:tc>
          <w:tcPr>
            <w:tcW w:w="1632" w:type="dxa"/>
          </w:tcPr>
          <w:p w:rsidR="00F244BA" w:rsidRDefault="00AC19E4">
            <w:pPr>
              <w:jc w:val="left"/>
            </w:pPr>
            <w:r>
              <w:lastRenderedPageBreak/>
              <w:t>3114-IZGRADNJA I ODRŽAVANJE ŽELJEZNIČKE INFRASTRUKTURE</w:t>
            </w:r>
          </w:p>
        </w:tc>
        <w:tc>
          <w:tcPr>
            <w:tcW w:w="2041" w:type="dxa"/>
          </w:tcPr>
          <w:p w:rsidR="00F244BA" w:rsidRDefault="00AC19E4">
            <w:pPr>
              <w:jc w:val="right"/>
            </w:pPr>
            <w:r>
              <w:t>147.066.239</w:t>
            </w:r>
          </w:p>
        </w:tc>
        <w:tc>
          <w:tcPr>
            <w:tcW w:w="2041" w:type="dxa"/>
          </w:tcPr>
          <w:p w:rsidR="00F244BA" w:rsidRDefault="00AC19E4">
            <w:pPr>
              <w:jc w:val="right"/>
            </w:pPr>
            <w:r>
              <w:t>259.380.970</w:t>
            </w:r>
          </w:p>
        </w:tc>
        <w:tc>
          <w:tcPr>
            <w:tcW w:w="2041" w:type="dxa"/>
          </w:tcPr>
          <w:p w:rsidR="00F244BA" w:rsidRDefault="00AC19E4">
            <w:pPr>
              <w:jc w:val="right"/>
            </w:pPr>
            <w:r>
              <w:t>258.442.443</w:t>
            </w:r>
          </w:p>
        </w:tc>
        <w:tc>
          <w:tcPr>
            <w:tcW w:w="1224" w:type="dxa"/>
          </w:tcPr>
          <w:p w:rsidR="00F244BA" w:rsidRDefault="00AC19E4">
            <w:pPr>
              <w:jc w:val="right"/>
            </w:pPr>
            <w:r>
              <w:t>99,6</w:t>
            </w:r>
          </w:p>
        </w:tc>
        <w:tc>
          <w:tcPr>
            <w:tcW w:w="1224" w:type="dxa"/>
          </w:tcPr>
          <w:p w:rsidR="00F244BA" w:rsidRDefault="00AC19E4">
            <w:pPr>
              <w:jc w:val="right"/>
            </w:pPr>
            <w:r>
              <w:t>175,7</w:t>
            </w:r>
          </w:p>
        </w:tc>
      </w:tr>
      <w:tr w:rsidR="00F244BA">
        <w:trPr>
          <w:jc w:val="center"/>
        </w:trPr>
        <w:tc>
          <w:tcPr>
            <w:tcW w:w="1632" w:type="dxa"/>
          </w:tcPr>
          <w:p w:rsidR="00F244BA" w:rsidRDefault="00AC19E4">
            <w:pPr>
              <w:jc w:val="left"/>
            </w:pPr>
            <w:r>
              <w:t>3115-RAZVOJ UNUTARNJE PLOVIDBE</w:t>
            </w:r>
          </w:p>
        </w:tc>
        <w:tc>
          <w:tcPr>
            <w:tcW w:w="2041" w:type="dxa"/>
          </w:tcPr>
          <w:p w:rsidR="00F244BA" w:rsidRDefault="00AC19E4">
            <w:pPr>
              <w:jc w:val="right"/>
            </w:pPr>
            <w:r>
              <w:t>2.362.877</w:t>
            </w:r>
          </w:p>
        </w:tc>
        <w:tc>
          <w:tcPr>
            <w:tcW w:w="2041" w:type="dxa"/>
          </w:tcPr>
          <w:p w:rsidR="00F244BA" w:rsidRDefault="00AC19E4">
            <w:pPr>
              <w:jc w:val="right"/>
            </w:pPr>
            <w:r>
              <w:t>6.296.079</w:t>
            </w:r>
          </w:p>
        </w:tc>
        <w:tc>
          <w:tcPr>
            <w:tcW w:w="2041" w:type="dxa"/>
          </w:tcPr>
          <w:p w:rsidR="00F244BA" w:rsidRDefault="00AC19E4">
            <w:pPr>
              <w:jc w:val="right"/>
            </w:pPr>
            <w:r>
              <w:t>3.296.736</w:t>
            </w:r>
          </w:p>
        </w:tc>
        <w:tc>
          <w:tcPr>
            <w:tcW w:w="1224" w:type="dxa"/>
          </w:tcPr>
          <w:p w:rsidR="00F244BA" w:rsidRDefault="00AC19E4">
            <w:pPr>
              <w:jc w:val="right"/>
            </w:pPr>
            <w:r>
              <w:t>52,4</w:t>
            </w:r>
          </w:p>
        </w:tc>
        <w:tc>
          <w:tcPr>
            <w:tcW w:w="1224" w:type="dxa"/>
          </w:tcPr>
          <w:p w:rsidR="00F244BA" w:rsidRDefault="00AC19E4">
            <w:pPr>
              <w:jc w:val="right"/>
            </w:pPr>
            <w:r>
              <w:t>139,5</w:t>
            </w:r>
          </w:p>
        </w:tc>
      </w:tr>
      <w:tr w:rsidR="00F244BA">
        <w:trPr>
          <w:jc w:val="center"/>
        </w:trPr>
        <w:tc>
          <w:tcPr>
            <w:tcW w:w="1632" w:type="dxa"/>
          </w:tcPr>
          <w:p w:rsidR="00F244BA" w:rsidRDefault="00AC19E4">
            <w:pPr>
              <w:jc w:val="left"/>
            </w:pPr>
            <w:r>
              <w:t>3116-RAZVOJ SUSTAVA POMORSKOG PROMETA, POMORSKOG DOBRA I LUKA, TE ZAŠTITA OKOLIŠA OD ONEČIŠĆENJA S POMORSKIH OBJEKATA</w:t>
            </w:r>
          </w:p>
        </w:tc>
        <w:tc>
          <w:tcPr>
            <w:tcW w:w="2041" w:type="dxa"/>
          </w:tcPr>
          <w:p w:rsidR="00F244BA" w:rsidRDefault="00AC19E4">
            <w:pPr>
              <w:jc w:val="right"/>
            </w:pPr>
            <w:r>
              <w:t>19.513.453</w:t>
            </w:r>
          </w:p>
        </w:tc>
        <w:tc>
          <w:tcPr>
            <w:tcW w:w="2041" w:type="dxa"/>
          </w:tcPr>
          <w:p w:rsidR="00F244BA" w:rsidRDefault="00AC19E4">
            <w:pPr>
              <w:jc w:val="right"/>
            </w:pPr>
            <w:r>
              <w:t>17.321.433</w:t>
            </w:r>
          </w:p>
        </w:tc>
        <w:tc>
          <w:tcPr>
            <w:tcW w:w="2041" w:type="dxa"/>
          </w:tcPr>
          <w:p w:rsidR="00F244BA" w:rsidRDefault="00AC19E4">
            <w:pPr>
              <w:jc w:val="right"/>
            </w:pPr>
            <w:r>
              <w:t>16.960.846</w:t>
            </w:r>
          </w:p>
        </w:tc>
        <w:tc>
          <w:tcPr>
            <w:tcW w:w="1224" w:type="dxa"/>
          </w:tcPr>
          <w:p w:rsidR="00F244BA" w:rsidRDefault="00AC19E4">
            <w:pPr>
              <w:jc w:val="right"/>
            </w:pPr>
            <w:r>
              <w:t>97,9</w:t>
            </w:r>
          </w:p>
        </w:tc>
        <w:tc>
          <w:tcPr>
            <w:tcW w:w="1224" w:type="dxa"/>
          </w:tcPr>
          <w:p w:rsidR="00F244BA" w:rsidRDefault="00AC19E4">
            <w:pPr>
              <w:jc w:val="right"/>
            </w:pPr>
            <w:r>
              <w:t>86,9</w:t>
            </w:r>
          </w:p>
        </w:tc>
      </w:tr>
      <w:tr w:rsidR="00F244BA">
        <w:trPr>
          <w:jc w:val="center"/>
        </w:trPr>
        <w:tc>
          <w:tcPr>
            <w:tcW w:w="1632" w:type="dxa"/>
          </w:tcPr>
          <w:p w:rsidR="00F244BA" w:rsidRDefault="00AC19E4">
            <w:pPr>
              <w:jc w:val="left"/>
            </w:pPr>
            <w:r>
              <w:t>3118-RAZVOJ I SIGURNOST KOPNENOG PROMETA</w:t>
            </w:r>
          </w:p>
        </w:tc>
        <w:tc>
          <w:tcPr>
            <w:tcW w:w="2041" w:type="dxa"/>
          </w:tcPr>
          <w:p w:rsidR="00F244BA" w:rsidRDefault="00AC19E4">
            <w:pPr>
              <w:jc w:val="right"/>
            </w:pPr>
            <w:r>
              <w:t>204.221.552</w:t>
            </w:r>
          </w:p>
        </w:tc>
        <w:tc>
          <w:tcPr>
            <w:tcW w:w="2041" w:type="dxa"/>
          </w:tcPr>
          <w:p w:rsidR="00F244BA" w:rsidRDefault="00AC19E4">
            <w:pPr>
              <w:jc w:val="right"/>
            </w:pPr>
            <w:r>
              <w:t>219.501.206</w:t>
            </w:r>
          </w:p>
        </w:tc>
        <w:tc>
          <w:tcPr>
            <w:tcW w:w="2041" w:type="dxa"/>
          </w:tcPr>
          <w:p w:rsidR="00F244BA" w:rsidRDefault="00AC19E4">
            <w:pPr>
              <w:jc w:val="right"/>
            </w:pPr>
            <w:r>
              <w:t>215.062.835</w:t>
            </w:r>
          </w:p>
        </w:tc>
        <w:tc>
          <w:tcPr>
            <w:tcW w:w="1224" w:type="dxa"/>
          </w:tcPr>
          <w:p w:rsidR="00F244BA" w:rsidRDefault="00AC19E4">
            <w:pPr>
              <w:jc w:val="right"/>
            </w:pPr>
            <w:r>
              <w:t>98,0</w:t>
            </w:r>
          </w:p>
        </w:tc>
        <w:tc>
          <w:tcPr>
            <w:tcW w:w="1224" w:type="dxa"/>
          </w:tcPr>
          <w:p w:rsidR="00F244BA" w:rsidRDefault="00AC19E4">
            <w:pPr>
              <w:jc w:val="right"/>
            </w:pPr>
            <w:r>
              <w:t>105,3</w:t>
            </w:r>
          </w:p>
        </w:tc>
      </w:tr>
    </w:tbl>
    <w:p w:rsidR="00F244BA" w:rsidRDefault="00F244BA">
      <w:pPr>
        <w:jc w:val="left"/>
      </w:pPr>
    </w:p>
    <w:p w:rsidR="00F244BA" w:rsidRDefault="00AC19E4">
      <w:pPr>
        <w:pStyle w:val="Naslov3"/>
      </w:pPr>
      <w:r>
        <w:rPr>
          <w:rFonts w:cs="Times New Roman"/>
        </w:rPr>
        <w:t>3101 UPRAVLJANJE NA PODRUČJU PROMETNE POLITIKE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3101-UPRAVLJANJE NA PODRUČJU PROMETNE POLITIKE</w:t>
            </w:r>
          </w:p>
        </w:tc>
        <w:tc>
          <w:tcPr>
            <w:tcW w:w="2041" w:type="dxa"/>
          </w:tcPr>
          <w:p w:rsidR="00F244BA" w:rsidRDefault="00AC19E4">
            <w:pPr>
              <w:pStyle w:val="CellColumn"/>
              <w:jc w:val="right"/>
            </w:pPr>
            <w:r>
              <w:rPr>
                <w:rFonts w:cs="Times New Roman"/>
              </w:rPr>
              <w:t>15.217.615</w:t>
            </w:r>
          </w:p>
        </w:tc>
        <w:tc>
          <w:tcPr>
            <w:tcW w:w="2041" w:type="dxa"/>
          </w:tcPr>
          <w:p w:rsidR="00F244BA" w:rsidRDefault="00AC19E4">
            <w:pPr>
              <w:pStyle w:val="CellColumn"/>
              <w:jc w:val="right"/>
            </w:pPr>
            <w:r>
              <w:rPr>
                <w:rFonts w:cs="Times New Roman"/>
              </w:rPr>
              <w:t>21.399.757</w:t>
            </w:r>
          </w:p>
        </w:tc>
        <w:tc>
          <w:tcPr>
            <w:tcW w:w="2041" w:type="dxa"/>
          </w:tcPr>
          <w:p w:rsidR="00F244BA" w:rsidRDefault="00AC19E4">
            <w:pPr>
              <w:pStyle w:val="CellColumn"/>
              <w:jc w:val="right"/>
            </w:pPr>
            <w:r>
              <w:rPr>
                <w:rFonts w:cs="Times New Roman"/>
              </w:rPr>
              <w:t>18.225.808</w:t>
            </w:r>
          </w:p>
        </w:tc>
        <w:tc>
          <w:tcPr>
            <w:tcW w:w="1224" w:type="dxa"/>
          </w:tcPr>
          <w:p w:rsidR="00F244BA" w:rsidRDefault="00AC19E4">
            <w:pPr>
              <w:pStyle w:val="CellColumn"/>
              <w:jc w:val="right"/>
            </w:pPr>
            <w:r>
              <w:rPr>
                <w:rFonts w:cs="Times New Roman"/>
              </w:rPr>
              <w:t>85,2</w:t>
            </w:r>
          </w:p>
        </w:tc>
        <w:tc>
          <w:tcPr>
            <w:tcW w:w="1224" w:type="dxa"/>
          </w:tcPr>
          <w:p w:rsidR="00F244BA" w:rsidRDefault="00AC19E4">
            <w:pPr>
              <w:pStyle w:val="CellColumn"/>
              <w:jc w:val="right"/>
            </w:pPr>
            <w:r>
              <w:rPr>
                <w:rFonts w:cs="Times New Roman"/>
              </w:rPr>
              <w:t>119,8</w:t>
            </w:r>
          </w:p>
        </w:tc>
      </w:tr>
    </w:tbl>
    <w:p w:rsidR="00F244BA" w:rsidRDefault="00F244BA">
      <w:pPr>
        <w:jc w:val="left"/>
      </w:pPr>
    </w:p>
    <w:p w:rsidR="00F244BA" w:rsidRDefault="00AC19E4">
      <w:pPr>
        <w:pStyle w:val="Naslov8"/>
        <w:jc w:val="left"/>
      </w:pPr>
      <w:r>
        <w:t>Cilj 1. Povećanje kvalitete obavljanja poslova redovite djelatnosti i uvjeta rada Ministarstva</w:t>
      </w:r>
    </w:p>
    <w:p w:rsidR="00F244BA" w:rsidRDefault="00AC19E4">
      <w:pPr>
        <w:pStyle w:val="Naslov8"/>
        <w:jc w:val="left"/>
      </w:pPr>
      <w:r>
        <w:t>Opis provedbe cilja programa</w:t>
      </w:r>
    </w:p>
    <w:p w:rsidR="00F244BA" w:rsidRDefault="00AC19E4">
      <w:r>
        <w:t>Povećana je kvaliteta usluge prema korisnicima u vidu ažurnosti i učinkovitosti poslovanja, smanjenjem troškova poslovanja, višim nivoom informatizacije u vidu unapređenja poslovanja primjenom suvremenih informatičkih rješenja, sigurnošću informatičkog sustava, upravljanjem i razvojem ljudskih potencijala te osiguranjem pravilnog, učinkovitog i ekonomičnog raspolaganja proračunskim i drugim sredstvima.</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 xml:space="preserve">Postotak provedenih mjera  </w:t>
            </w:r>
          </w:p>
          <w:p w:rsidR="00F244BA" w:rsidRDefault="00AC19E4">
            <w:pPr>
              <w:pStyle w:val="CellColumn"/>
              <w:jc w:val="left"/>
            </w:pPr>
            <w:r>
              <w:rPr>
                <w:rFonts w:cs="Times New Roman"/>
              </w:rPr>
              <w:t xml:space="preserve">i aktivnosti vezanih uz  </w:t>
            </w:r>
          </w:p>
          <w:p w:rsidR="00F244BA" w:rsidRDefault="00AC19E4">
            <w:pPr>
              <w:pStyle w:val="CellColumn"/>
              <w:jc w:val="left"/>
            </w:pPr>
            <w:r>
              <w:rPr>
                <w:rFonts w:cs="Times New Roman"/>
              </w:rPr>
              <w:t xml:space="preserve">djelotvorno upravljanje  </w:t>
            </w:r>
          </w:p>
          <w:p w:rsidR="00F244BA" w:rsidRDefault="00AC19E4">
            <w:pPr>
              <w:pStyle w:val="CellColumn"/>
              <w:jc w:val="left"/>
            </w:pPr>
            <w:r>
              <w:rPr>
                <w:rFonts w:cs="Times New Roman"/>
              </w:rPr>
              <w:t xml:space="preserve">ljudskim potencijalima,  </w:t>
            </w:r>
          </w:p>
          <w:p w:rsidR="00F244BA" w:rsidRDefault="00AC19E4">
            <w:pPr>
              <w:pStyle w:val="CellColumn"/>
              <w:jc w:val="left"/>
            </w:pPr>
            <w:r>
              <w:rPr>
                <w:rFonts w:cs="Times New Roman"/>
              </w:rPr>
              <w:t xml:space="preserve">resursima i poslovnim  </w:t>
            </w:r>
          </w:p>
          <w:p w:rsidR="00F244BA" w:rsidRDefault="00AC19E4">
            <w:pPr>
              <w:pStyle w:val="CellColumn"/>
              <w:jc w:val="left"/>
            </w:pPr>
            <w:r>
              <w:rPr>
                <w:rFonts w:cs="Times New Roman"/>
              </w:rPr>
              <w:t>procesima</w:t>
            </w:r>
          </w:p>
        </w:tc>
        <w:tc>
          <w:tcPr>
            <w:tcW w:w="2551" w:type="dxa"/>
          </w:tcPr>
          <w:p w:rsidR="00F244BA" w:rsidRDefault="00AC19E4">
            <w:pPr>
              <w:pStyle w:val="CellColumn"/>
              <w:jc w:val="left"/>
            </w:pPr>
            <w:r>
              <w:rPr>
                <w:rFonts w:cs="Times New Roman"/>
              </w:rPr>
              <w:t xml:space="preserve">Razvojem i djelotvornim  </w:t>
            </w:r>
          </w:p>
          <w:p w:rsidR="00F244BA" w:rsidRDefault="00AC19E4">
            <w:pPr>
              <w:pStyle w:val="CellColumn"/>
              <w:jc w:val="left"/>
            </w:pPr>
            <w:r>
              <w:rPr>
                <w:rFonts w:cs="Times New Roman"/>
              </w:rPr>
              <w:t xml:space="preserve">upravljanjem ljudskim  </w:t>
            </w:r>
          </w:p>
          <w:p w:rsidR="00F244BA" w:rsidRDefault="00AC19E4">
            <w:pPr>
              <w:pStyle w:val="CellColumn"/>
              <w:jc w:val="left"/>
            </w:pPr>
            <w:r>
              <w:rPr>
                <w:rFonts w:cs="Times New Roman"/>
              </w:rPr>
              <w:t xml:space="preserve">potencijalima, kao i  </w:t>
            </w:r>
          </w:p>
          <w:p w:rsidR="00F244BA" w:rsidRDefault="00AC19E4">
            <w:pPr>
              <w:pStyle w:val="CellColumn"/>
              <w:jc w:val="left"/>
            </w:pPr>
            <w:r>
              <w:rPr>
                <w:rFonts w:cs="Times New Roman"/>
              </w:rPr>
              <w:t xml:space="preserve">djelotvornim i  </w:t>
            </w:r>
          </w:p>
          <w:p w:rsidR="00F244BA" w:rsidRDefault="00AC19E4">
            <w:pPr>
              <w:pStyle w:val="CellColumn"/>
              <w:jc w:val="left"/>
            </w:pPr>
            <w:r>
              <w:rPr>
                <w:rFonts w:cs="Times New Roman"/>
              </w:rPr>
              <w:t xml:space="preserve">učinkovitim upravljanjem  </w:t>
            </w:r>
          </w:p>
          <w:p w:rsidR="00F244BA" w:rsidRDefault="00AC19E4">
            <w:pPr>
              <w:pStyle w:val="CellColumn"/>
              <w:jc w:val="left"/>
            </w:pPr>
            <w:r>
              <w:rPr>
                <w:rFonts w:cs="Times New Roman"/>
              </w:rPr>
              <w:t xml:space="preserve">resursima i poslovnim  </w:t>
            </w:r>
          </w:p>
          <w:p w:rsidR="00F244BA" w:rsidRDefault="00AC19E4">
            <w:pPr>
              <w:pStyle w:val="CellColumn"/>
              <w:jc w:val="left"/>
            </w:pPr>
            <w:r>
              <w:rPr>
                <w:rFonts w:cs="Times New Roman"/>
              </w:rPr>
              <w:t xml:space="preserve">procesima povećava se  </w:t>
            </w:r>
          </w:p>
          <w:p w:rsidR="00F244BA" w:rsidRDefault="00AC19E4">
            <w:pPr>
              <w:pStyle w:val="CellColumn"/>
              <w:jc w:val="left"/>
            </w:pPr>
            <w:r>
              <w:rPr>
                <w:rFonts w:cs="Times New Roman"/>
              </w:rPr>
              <w:t xml:space="preserve">kvaliteta usluge u vidu  </w:t>
            </w:r>
          </w:p>
          <w:p w:rsidR="00F244BA" w:rsidRDefault="00AC19E4">
            <w:pPr>
              <w:pStyle w:val="CellColumn"/>
              <w:jc w:val="left"/>
            </w:pPr>
            <w:r>
              <w:rPr>
                <w:rFonts w:cs="Times New Roman"/>
              </w:rPr>
              <w:t xml:space="preserve">povećanja ažurnosti i  </w:t>
            </w:r>
          </w:p>
          <w:p w:rsidR="00F244BA" w:rsidRDefault="00AC19E4">
            <w:pPr>
              <w:pStyle w:val="CellColumn"/>
              <w:jc w:val="left"/>
            </w:pPr>
            <w:r>
              <w:rPr>
                <w:rFonts w:cs="Times New Roman"/>
              </w:rPr>
              <w:t xml:space="preserve">učinkovitosti te smanjenje  </w:t>
            </w:r>
          </w:p>
          <w:p w:rsidR="00F244BA" w:rsidRDefault="00AC19E4">
            <w:pPr>
              <w:pStyle w:val="CellColumn"/>
              <w:jc w:val="left"/>
            </w:pPr>
            <w:r>
              <w:rPr>
                <w:rFonts w:cs="Times New Roman"/>
              </w:rPr>
              <w:t>troškova poslovanja.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 xml:space="preserve">Ministarst </w:t>
            </w:r>
          </w:p>
          <w:p w:rsidR="00F244BA" w:rsidRDefault="00AC19E4">
            <w:pPr>
              <w:pStyle w:val="CellColumn"/>
              <w:jc w:val="right"/>
            </w:pPr>
            <w:r>
              <w:rPr>
                <w:rFonts w:cs="Times New Roman"/>
              </w:rPr>
              <w:t xml:space="preserve">vo mora, </w:t>
            </w:r>
          </w:p>
          <w:p w:rsidR="00F244BA" w:rsidRDefault="00AC19E4">
            <w:pPr>
              <w:pStyle w:val="CellColumn"/>
              <w:jc w:val="right"/>
            </w:pPr>
            <w:r>
              <w:rPr>
                <w:rFonts w:cs="Times New Roman"/>
              </w:rPr>
              <w:t xml:space="preserve">prometa i </w:t>
            </w:r>
          </w:p>
          <w:p w:rsidR="00F244BA" w:rsidRDefault="00AC19E4">
            <w:pPr>
              <w:pStyle w:val="CellColumn"/>
              <w:jc w:val="right"/>
            </w:pPr>
            <w:r>
              <w:rPr>
                <w:rFonts w:cs="Times New Roman"/>
              </w:rPr>
              <w:t xml:space="preserve">infrastruk </w:t>
            </w:r>
          </w:p>
          <w:p w:rsidR="00F244BA" w:rsidRDefault="00AC19E4">
            <w:pPr>
              <w:pStyle w:val="CellColumn"/>
              <w:jc w:val="right"/>
            </w:pPr>
            <w:r>
              <w:rPr>
                <w:rFonts w:cs="Times New Roman"/>
              </w:rPr>
              <w:t>ture</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A250997 OBVEZE PO SUDSKIM SPOROVIMA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A250997-OBVEZE PO SUDSKIM SPOROVIMA</w:t>
            </w:r>
          </w:p>
        </w:tc>
        <w:tc>
          <w:tcPr>
            <w:tcW w:w="2041" w:type="dxa"/>
          </w:tcPr>
          <w:p w:rsidR="00F244BA" w:rsidRDefault="00AC19E4">
            <w:pPr>
              <w:pStyle w:val="CellColumn"/>
              <w:jc w:val="right"/>
            </w:pPr>
            <w:r>
              <w:rPr>
                <w:rFonts w:cs="Times New Roman"/>
              </w:rPr>
              <w:t>132.238</w:t>
            </w:r>
          </w:p>
        </w:tc>
        <w:tc>
          <w:tcPr>
            <w:tcW w:w="2041" w:type="dxa"/>
          </w:tcPr>
          <w:p w:rsidR="00F244BA" w:rsidRDefault="00AC19E4">
            <w:pPr>
              <w:pStyle w:val="CellColumn"/>
              <w:jc w:val="right"/>
            </w:pPr>
            <w:r>
              <w:rPr>
                <w:rFonts w:cs="Times New Roman"/>
              </w:rPr>
              <w:t>808.887</w:t>
            </w:r>
          </w:p>
        </w:tc>
        <w:tc>
          <w:tcPr>
            <w:tcW w:w="2041" w:type="dxa"/>
          </w:tcPr>
          <w:p w:rsidR="00F244BA" w:rsidRDefault="00AC19E4">
            <w:pPr>
              <w:pStyle w:val="CellColumn"/>
              <w:jc w:val="right"/>
            </w:pPr>
            <w:r>
              <w:rPr>
                <w:rFonts w:cs="Times New Roman"/>
              </w:rPr>
              <w:t>303.412</w:t>
            </w:r>
          </w:p>
        </w:tc>
        <w:tc>
          <w:tcPr>
            <w:tcW w:w="1224" w:type="dxa"/>
          </w:tcPr>
          <w:p w:rsidR="00F244BA" w:rsidRDefault="00AC19E4">
            <w:pPr>
              <w:pStyle w:val="CellColumn"/>
              <w:jc w:val="right"/>
            </w:pPr>
            <w:r>
              <w:rPr>
                <w:rFonts w:cs="Times New Roman"/>
              </w:rPr>
              <w:t>37,5</w:t>
            </w:r>
          </w:p>
        </w:tc>
        <w:tc>
          <w:tcPr>
            <w:tcW w:w="1224" w:type="dxa"/>
          </w:tcPr>
          <w:p w:rsidR="00F244BA" w:rsidRDefault="00AC19E4">
            <w:pPr>
              <w:pStyle w:val="CellColumn"/>
              <w:jc w:val="right"/>
            </w:pPr>
            <w:r>
              <w:rPr>
                <w:rFonts w:cs="Times New Roman"/>
              </w:rPr>
              <w:t>229,4</w:t>
            </w:r>
          </w:p>
        </w:tc>
      </w:tr>
    </w:tbl>
    <w:p w:rsidR="00F244BA" w:rsidRDefault="00F244BA">
      <w:pPr>
        <w:jc w:val="left"/>
      </w:pPr>
    </w:p>
    <w:p w:rsidR="00F244BA" w:rsidRDefault="00AC19E4">
      <w:pPr>
        <w:pStyle w:val="Naslov8"/>
        <w:jc w:val="left"/>
      </w:pPr>
      <w:r>
        <w:t>Zakonske i druge pravne osnove</w:t>
      </w:r>
    </w:p>
    <w:p w:rsidR="00F244BA" w:rsidRDefault="00AC19E4">
      <w:r>
        <w:t>- Zakon o sustavu državne uprave, članak 9. i članak 53.</w:t>
      </w:r>
    </w:p>
    <w:p w:rsidR="00F244BA" w:rsidRDefault="00AC19E4">
      <w:pPr>
        <w:pStyle w:val="Naslov8"/>
        <w:jc w:val="left"/>
      </w:pPr>
      <w:r>
        <w:t>Opis aktivnosti</w:t>
      </w:r>
    </w:p>
    <w:p w:rsidR="00F244BA" w:rsidRDefault="00AC19E4">
      <w:r>
        <w:t>Sredstva u okviru ove aktivnosti utrošena su za podmirenje obveza po izgubljenim sudskim sporovima i plaćanje  pripadajućih sudskih troškova.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pokrivenih troškova sudskih sporova</w:t>
            </w:r>
          </w:p>
        </w:tc>
        <w:tc>
          <w:tcPr>
            <w:tcW w:w="2551" w:type="dxa"/>
          </w:tcPr>
          <w:p w:rsidR="00F244BA" w:rsidRDefault="00AC19E4">
            <w:pPr>
              <w:pStyle w:val="CellColumn"/>
              <w:jc w:val="left"/>
            </w:pPr>
            <w:r>
              <w:rPr>
                <w:rFonts w:cs="Times New Roman"/>
              </w:rPr>
              <w:t>Pokrivanje svih troškova proizašlih iz sudskih sporova.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A570000 ADMINISTRACIJA I UPRAVLJANJE</w:t>
      </w:r>
    </w:p>
    <w:tbl>
      <w:tblPr>
        <w:tblStyle w:val="StilTablice"/>
        <w:tblW w:w="10206" w:type="dxa"/>
        <w:jc w:val="center"/>
        <w:tblLook w:val="04A0" w:firstRow="1" w:lastRow="0" w:firstColumn="1" w:lastColumn="0" w:noHBand="0" w:noVBand="1"/>
      </w:tblPr>
      <w:tblGrid>
        <w:gridCol w:w="1792"/>
        <w:gridCol w:w="1995"/>
        <w:gridCol w:w="1995"/>
        <w:gridCol w:w="1995"/>
        <w:gridCol w:w="1212"/>
        <w:gridCol w:w="1217"/>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A570000-ADMINISTRACIJA I UPRAVLJANJE</w:t>
            </w:r>
          </w:p>
        </w:tc>
        <w:tc>
          <w:tcPr>
            <w:tcW w:w="2041" w:type="dxa"/>
          </w:tcPr>
          <w:p w:rsidR="00F244BA" w:rsidRDefault="00AC19E4">
            <w:pPr>
              <w:pStyle w:val="CellColumn"/>
              <w:jc w:val="right"/>
            </w:pPr>
            <w:r>
              <w:rPr>
                <w:rFonts w:cs="Times New Roman"/>
              </w:rPr>
              <w:t>11.687.165</w:t>
            </w:r>
          </w:p>
        </w:tc>
        <w:tc>
          <w:tcPr>
            <w:tcW w:w="2041" w:type="dxa"/>
          </w:tcPr>
          <w:p w:rsidR="00F244BA" w:rsidRDefault="00AC19E4">
            <w:pPr>
              <w:pStyle w:val="CellColumn"/>
              <w:jc w:val="right"/>
            </w:pPr>
            <w:r>
              <w:rPr>
                <w:rFonts w:cs="Times New Roman"/>
              </w:rPr>
              <w:t>15.917.040</w:t>
            </w:r>
          </w:p>
        </w:tc>
        <w:tc>
          <w:tcPr>
            <w:tcW w:w="2041" w:type="dxa"/>
          </w:tcPr>
          <w:p w:rsidR="00F244BA" w:rsidRDefault="00AC19E4">
            <w:pPr>
              <w:pStyle w:val="CellColumn"/>
              <w:jc w:val="right"/>
            </w:pPr>
            <w:r>
              <w:rPr>
                <w:rFonts w:cs="Times New Roman"/>
              </w:rPr>
              <w:t>14.470.668</w:t>
            </w:r>
          </w:p>
        </w:tc>
        <w:tc>
          <w:tcPr>
            <w:tcW w:w="1224" w:type="dxa"/>
          </w:tcPr>
          <w:p w:rsidR="00F244BA" w:rsidRDefault="00AC19E4">
            <w:pPr>
              <w:pStyle w:val="CellColumn"/>
              <w:jc w:val="right"/>
            </w:pPr>
            <w:r>
              <w:rPr>
                <w:rFonts w:cs="Times New Roman"/>
              </w:rPr>
              <w:t>90,9</w:t>
            </w:r>
          </w:p>
        </w:tc>
        <w:tc>
          <w:tcPr>
            <w:tcW w:w="1224" w:type="dxa"/>
          </w:tcPr>
          <w:p w:rsidR="00F244BA" w:rsidRDefault="00AC19E4">
            <w:pPr>
              <w:pStyle w:val="CellColumn"/>
              <w:jc w:val="right"/>
            </w:pPr>
            <w:r>
              <w:rPr>
                <w:rFonts w:cs="Times New Roman"/>
              </w:rPr>
              <w:t>123,8</w:t>
            </w:r>
          </w:p>
        </w:tc>
      </w:tr>
    </w:tbl>
    <w:p w:rsidR="00F244BA" w:rsidRDefault="00F244BA">
      <w:pPr>
        <w:jc w:val="left"/>
      </w:pPr>
    </w:p>
    <w:p w:rsidR="00F244BA" w:rsidRDefault="00AC19E4">
      <w:pPr>
        <w:pStyle w:val="Naslov8"/>
        <w:jc w:val="left"/>
      </w:pPr>
      <w:r>
        <w:lastRenderedPageBreak/>
        <w:t>Zakonske i druge pravne osnove</w:t>
      </w:r>
    </w:p>
    <w:p w:rsidR="00F244BA" w:rsidRDefault="00AC19E4">
      <w:r>
        <w:t xml:space="preserve">- Zakon o sustavu državne uprave  </w:t>
      </w:r>
    </w:p>
    <w:p w:rsidR="00F244BA" w:rsidRDefault="00AC19E4">
      <w:r>
        <w:t xml:space="preserve">- Uredba o načelima za unutarnje ustrojstvo tijela državne uprave  </w:t>
      </w:r>
    </w:p>
    <w:p w:rsidR="00F244BA" w:rsidRDefault="00AC19E4">
      <w:r>
        <w:t xml:space="preserve">- Uredba o unutarnjem ustrojstvu Ministarstva mora, prometa i infrastrukture  </w:t>
      </w:r>
    </w:p>
    <w:p w:rsidR="00F244BA" w:rsidRDefault="00AC19E4">
      <w:r>
        <w:t xml:space="preserve">- Kolektivni ugovor za državne službenike i namještenike  </w:t>
      </w:r>
    </w:p>
    <w:p w:rsidR="00F244BA" w:rsidRDefault="00AC19E4">
      <w:r>
        <w:t xml:space="preserve">- Zakon o javnoj nabavi  </w:t>
      </w:r>
    </w:p>
    <w:p w:rsidR="00F244BA" w:rsidRDefault="00AC19E4">
      <w:r>
        <w:t xml:space="preserve">- Zakon o upravljanju državnom imovinom  </w:t>
      </w:r>
    </w:p>
    <w:p w:rsidR="00F244BA" w:rsidRDefault="00AC19E4">
      <w:r>
        <w:t xml:space="preserve">- Zakon o informacijskoj sigurnosti </w:t>
      </w:r>
    </w:p>
    <w:p w:rsidR="00F244BA" w:rsidRDefault="00AC19E4">
      <w:r>
        <w:t xml:space="preserve">- Zakon o proračunu  </w:t>
      </w:r>
    </w:p>
    <w:p w:rsidR="00F244BA" w:rsidRDefault="00AC19E4">
      <w:r>
        <w:t xml:space="preserve">- Zakon o fiskalnoj odgovornosti  </w:t>
      </w:r>
    </w:p>
    <w:p w:rsidR="00F244BA" w:rsidRDefault="00AC19E4">
      <w:r>
        <w:t>- i svi ostali relevantni propisi.</w:t>
      </w:r>
    </w:p>
    <w:p w:rsidR="00F244BA" w:rsidRDefault="00AC19E4">
      <w:pPr>
        <w:pStyle w:val="Naslov8"/>
        <w:jc w:val="left"/>
      </w:pPr>
      <w:r>
        <w:t>Opis aktivnosti</w:t>
      </w:r>
    </w:p>
    <w:p w:rsidR="00F244BA" w:rsidRDefault="00AC19E4">
      <w:r>
        <w:t>U okviru ove aktivnosti sredstva su utrošena za pokriće troškova plaća i ostalih troškova zaposlenika Ministarstva, osim službenika i namještenika Uprave sigurnosti plovidbe i službenika čije se plaće osiguravaju iz sredstava tehničke pomoći. Ujedno, sredstva su utrošena za obavljanje redovite djelatnosti Ministarstva i to kroz pokriće materijalnih rashoda koji nastaju u sjedištu Ministarstva i na lokacijama na kojima su smješteni inspektori prometne inspekcije i djelatnici Uprave unutarnje plovidbe kao što su troškovi energije, zaštite na radu, komunalne usluge, usluge čišćenja, pošte, prijevoza, uredskog materijala, službenih putovanja, nabave uredske opreme i namještaja, komunikacijske opreme, opreme za održavanje i zaštitu i slično.</w:t>
      </w:r>
    </w:p>
    <w:p w:rsidR="00F244BA" w:rsidRDefault="00AC19E4">
      <w:pPr>
        <w:pStyle w:val="Naslov4"/>
      </w:pPr>
      <w:r>
        <w:t>K570319 OBNOVA VOZNOG PARKA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K570319-OBNOVA VOZNOG PARKA</w:t>
            </w:r>
          </w:p>
        </w:tc>
        <w:tc>
          <w:tcPr>
            <w:tcW w:w="2041" w:type="dxa"/>
          </w:tcPr>
          <w:p w:rsidR="00F244BA" w:rsidRDefault="00AC19E4">
            <w:pPr>
              <w:pStyle w:val="CellColumn"/>
              <w:jc w:val="right"/>
            </w:pPr>
            <w:r>
              <w:rPr>
                <w:rFonts w:cs="Times New Roman"/>
              </w:rPr>
              <w:t>373.774</w:t>
            </w:r>
          </w:p>
        </w:tc>
        <w:tc>
          <w:tcPr>
            <w:tcW w:w="2041" w:type="dxa"/>
          </w:tcPr>
          <w:p w:rsidR="00F244BA" w:rsidRDefault="00AC19E4">
            <w:pPr>
              <w:pStyle w:val="CellColumn"/>
              <w:jc w:val="right"/>
            </w:pPr>
            <w:r>
              <w:rPr>
                <w:rFonts w:cs="Times New Roman"/>
              </w:rPr>
              <w:t>421.800</w:t>
            </w:r>
          </w:p>
        </w:tc>
        <w:tc>
          <w:tcPr>
            <w:tcW w:w="2041" w:type="dxa"/>
          </w:tcPr>
          <w:p w:rsidR="00F244BA" w:rsidRDefault="00AC19E4">
            <w:pPr>
              <w:pStyle w:val="CellColumn"/>
              <w:jc w:val="right"/>
            </w:pPr>
            <w:r>
              <w:rPr>
                <w:rFonts w:cs="Times New Roman"/>
              </w:rPr>
              <w:t>263.646</w:t>
            </w:r>
          </w:p>
        </w:tc>
        <w:tc>
          <w:tcPr>
            <w:tcW w:w="1224" w:type="dxa"/>
          </w:tcPr>
          <w:p w:rsidR="00F244BA" w:rsidRDefault="00AC19E4">
            <w:pPr>
              <w:pStyle w:val="CellColumn"/>
              <w:jc w:val="right"/>
            </w:pPr>
            <w:r>
              <w:rPr>
                <w:rFonts w:cs="Times New Roman"/>
              </w:rPr>
              <w:t>62,5</w:t>
            </w:r>
          </w:p>
        </w:tc>
        <w:tc>
          <w:tcPr>
            <w:tcW w:w="1224" w:type="dxa"/>
          </w:tcPr>
          <w:p w:rsidR="00F244BA" w:rsidRDefault="00AC19E4">
            <w:pPr>
              <w:pStyle w:val="CellColumn"/>
              <w:jc w:val="right"/>
            </w:pPr>
            <w:r>
              <w:rPr>
                <w:rFonts w:cs="Times New Roman"/>
              </w:rPr>
              <w:t>70,5</w:t>
            </w:r>
          </w:p>
        </w:tc>
      </w:tr>
    </w:tbl>
    <w:p w:rsidR="00F244BA" w:rsidRDefault="00F244BA">
      <w:pPr>
        <w:jc w:val="left"/>
      </w:pPr>
    </w:p>
    <w:p w:rsidR="00F244BA" w:rsidRDefault="00AC19E4">
      <w:pPr>
        <w:pStyle w:val="Naslov8"/>
        <w:jc w:val="left"/>
      </w:pPr>
      <w:r>
        <w:t>Zakonske i druge pravne osnove</w:t>
      </w:r>
    </w:p>
    <w:p w:rsidR="00F244BA" w:rsidRDefault="00AC19E4">
      <w:r>
        <w:t>- Zakon o sustavu državne uprave članak 9. i članak 53.</w:t>
      </w:r>
    </w:p>
    <w:p w:rsidR="00F244BA" w:rsidRDefault="00AC19E4">
      <w:pPr>
        <w:pStyle w:val="Naslov8"/>
        <w:jc w:val="left"/>
      </w:pPr>
      <w:r>
        <w:t>Opis aktivnosti</w:t>
      </w:r>
    </w:p>
    <w:p w:rsidR="00F244BA" w:rsidRDefault="00AC19E4">
      <w:r>
        <w:t>Sredstva u okviru ovog projekta utrošena su za nabavu službenog vozila, podmirenje rata leasinga temeljem ranije zaključenih ugovora, redovno održavanje vozila u vlasništvu Ministarstva, kupnju automobilskih guma, osiguranja i tehničkog pregleda vozila. S obzirom da su službena vozila redovno servisirana te na istima nije bilo ozbiljnih kvarova kao i činjenicu da su ista  kasko osigurana ostao je dio neutrošenih sredstava planiranih za eventualne popravke. Ujedno, zbog dobrog stanja ranije nabavljenih guma nije bilo potrebe za zamjenom istih kako je planirano te je ostao dio neutrošenih sredstava.</w:t>
      </w:r>
    </w:p>
    <w:p w:rsidR="00F244BA" w:rsidRDefault="00AC19E4">
      <w:pPr>
        <w:pStyle w:val="Naslov4"/>
      </w:pPr>
      <w:r>
        <w:t>K570321 INFORMATIZACIJA</w:t>
      </w:r>
    </w:p>
    <w:tbl>
      <w:tblPr>
        <w:tblStyle w:val="StilTablice"/>
        <w:tblW w:w="10206" w:type="dxa"/>
        <w:jc w:val="center"/>
        <w:tblLook w:val="04A0" w:firstRow="1" w:lastRow="0" w:firstColumn="1" w:lastColumn="0" w:noHBand="0" w:noVBand="1"/>
      </w:tblPr>
      <w:tblGrid>
        <w:gridCol w:w="1914"/>
        <w:gridCol w:w="1958"/>
        <w:gridCol w:w="1958"/>
        <w:gridCol w:w="1958"/>
        <w:gridCol w:w="1205"/>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K570321-INFORMATIZACIJA</w:t>
            </w:r>
          </w:p>
        </w:tc>
        <w:tc>
          <w:tcPr>
            <w:tcW w:w="2041" w:type="dxa"/>
          </w:tcPr>
          <w:p w:rsidR="00F244BA" w:rsidRDefault="00AC19E4">
            <w:pPr>
              <w:pStyle w:val="CellColumn"/>
              <w:jc w:val="right"/>
            </w:pPr>
            <w:r>
              <w:rPr>
                <w:rFonts w:cs="Times New Roman"/>
              </w:rPr>
              <w:t>1.833.200</w:t>
            </w:r>
          </w:p>
        </w:tc>
        <w:tc>
          <w:tcPr>
            <w:tcW w:w="2041" w:type="dxa"/>
          </w:tcPr>
          <w:p w:rsidR="00F244BA" w:rsidRDefault="00AC19E4">
            <w:pPr>
              <w:pStyle w:val="CellColumn"/>
              <w:jc w:val="right"/>
            </w:pPr>
            <w:r>
              <w:rPr>
                <w:rFonts w:cs="Times New Roman"/>
              </w:rPr>
              <w:t>2.619.804</w:t>
            </w:r>
          </w:p>
        </w:tc>
        <w:tc>
          <w:tcPr>
            <w:tcW w:w="2041" w:type="dxa"/>
          </w:tcPr>
          <w:p w:rsidR="00F244BA" w:rsidRDefault="00AC19E4">
            <w:pPr>
              <w:pStyle w:val="CellColumn"/>
              <w:jc w:val="right"/>
            </w:pPr>
            <w:r>
              <w:rPr>
                <w:rFonts w:cs="Times New Roman"/>
              </w:rPr>
              <w:t>2.503.553</w:t>
            </w:r>
          </w:p>
        </w:tc>
        <w:tc>
          <w:tcPr>
            <w:tcW w:w="1224" w:type="dxa"/>
          </w:tcPr>
          <w:p w:rsidR="00F244BA" w:rsidRDefault="00AC19E4">
            <w:pPr>
              <w:pStyle w:val="CellColumn"/>
              <w:jc w:val="right"/>
            </w:pPr>
            <w:r>
              <w:rPr>
                <w:rFonts w:cs="Times New Roman"/>
              </w:rPr>
              <w:t>95,6</w:t>
            </w:r>
          </w:p>
        </w:tc>
        <w:tc>
          <w:tcPr>
            <w:tcW w:w="1224" w:type="dxa"/>
          </w:tcPr>
          <w:p w:rsidR="00F244BA" w:rsidRDefault="00AC19E4">
            <w:pPr>
              <w:pStyle w:val="CellColumn"/>
              <w:jc w:val="right"/>
            </w:pPr>
            <w:r>
              <w:rPr>
                <w:rFonts w:cs="Times New Roman"/>
              </w:rPr>
              <w:t>136,6</w:t>
            </w:r>
          </w:p>
        </w:tc>
      </w:tr>
    </w:tbl>
    <w:p w:rsidR="00F244BA" w:rsidRDefault="00F244BA">
      <w:pPr>
        <w:jc w:val="left"/>
      </w:pPr>
    </w:p>
    <w:p w:rsidR="00F244BA" w:rsidRDefault="00AC19E4">
      <w:pPr>
        <w:pStyle w:val="Naslov8"/>
        <w:jc w:val="left"/>
      </w:pPr>
      <w:r>
        <w:t>Zakonske i druge pravne osnove</w:t>
      </w:r>
    </w:p>
    <w:p w:rsidR="00F244BA" w:rsidRDefault="00AC19E4">
      <w:r>
        <w:t>- Zakon o sustavu državne uprave članak 9. i članak 53.</w:t>
      </w:r>
    </w:p>
    <w:p w:rsidR="00F244BA" w:rsidRDefault="00AC19E4">
      <w:pPr>
        <w:pStyle w:val="Naslov8"/>
        <w:jc w:val="left"/>
      </w:pPr>
      <w:r>
        <w:t>Opis aktivnosti</w:t>
      </w:r>
    </w:p>
    <w:p w:rsidR="00F244BA" w:rsidRDefault="00AC19E4">
      <w:r>
        <w:t>Sredstva u okviru ovog projekta utrošena su za redovno održavanje aplikacija informatičkog sustava Ministarstva i nabavu komunikacijske i informatičke opreme te licenci.</w:t>
      </w:r>
    </w:p>
    <w:p w:rsidR="00F244BA" w:rsidRDefault="00AC19E4">
      <w:pPr>
        <w:pStyle w:val="Naslov4"/>
      </w:pPr>
      <w:r>
        <w:t>K810016 REKONSTRUKCIJA, OBNOVA I ODRŽAVANJE POSLOVNIH ZGRADA MINISTARSTVA</w:t>
      </w:r>
    </w:p>
    <w:tbl>
      <w:tblPr>
        <w:tblStyle w:val="StilTablice"/>
        <w:tblW w:w="10206" w:type="dxa"/>
        <w:jc w:val="center"/>
        <w:tblLook w:val="04A0" w:firstRow="1" w:lastRow="0" w:firstColumn="1" w:lastColumn="0" w:noHBand="0" w:noVBand="1"/>
      </w:tblPr>
      <w:tblGrid>
        <w:gridCol w:w="1932"/>
        <w:gridCol w:w="1954"/>
        <w:gridCol w:w="1948"/>
        <w:gridCol w:w="1954"/>
        <w:gridCol w:w="1205"/>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K810016-REKONSTRUKCIJA, OBNOVA I ODRŽAVANJE POSLOVNIH ZGRADA MINISTARSTVA</w:t>
            </w:r>
          </w:p>
        </w:tc>
        <w:tc>
          <w:tcPr>
            <w:tcW w:w="2041" w:type="dxa"/>
          </w:tcPr>
          <w:p w:rsidR="00F244BA" w:rsidRDefault="00AC19E4">
            <w:pPr>
              <w:pStyle w:val="CellColumn"/>
              <w:jc w:val="right"/>
            </w:pPr>
            <w:r>
              <w:rPr>
                <w:rFonts w:cs="Times New Roman"/>
              </w:rPr>
              <w:t>442.538</w:t>
            </w:r>
          </w:p>
        </w:tc>
        <w:tc>
          <w:tcPr>
            <w:tcW w:w="2041" w:type="dxa"/>
          </w:tcPr>
          <w:p w:rsidR="00F244BA" w:rsidRDefault="00AC19E4">
            <w:pPr>
              <w:pStyle w:val="CellColumn"/>
              <w:jc w:val="right"/>
            </w:pPr>
            <w:r>
              <w:rPr>
                <w:rFonts w:cs="Times New Roman"/>
              </w:rPr>
              <w:t>821.778</w:t>
            </w:r>
          </w:p>
        </w:tc>
        <w:tc>
          <w:tcPr>
            <w:tcW w:w="2041" w:type="dxa"/>
          </w:tcPr>
          <w:p w:rsidR="00F244BA" w:rsidRDefault="00AC19E4">
            <w:pPr>
              <w:pStyle w:val="CellColumn"/>
              <w:jc w:val="right"/>
            </w:pPr>
            <w:r>
              <w:rPr>
                <w:rFonts w:cs="Times New Roman"/>
              </w:rPr>
              <w:t>665.343</w:t>
            </w:r>
          </w:p>
        </w:tc>
        <w:tc>
          <w:tcPr>
            <w:tcW w:w="1224" w:type="dxa"/>
          </w:tcPr>
          <w:p w:rsidR="00F244BA" w:rsidRDefault="00AC19E4">
            <w:pPr>
              <w:pStyle w:val="CellColumn"/>
              <w:jc w:val="right"/>
            </w:pPr>
            <w:r>
              <w:rPr>
                <w:rFonts w:cs="Times New Roman"/>
              </w:rPr>
              <w:t>81,0</w:t>
            </w:r>
          </w:p>
        </w:tc>
        <w:tc>
          <w:tcPr>
            <w:tcW w:w="1224" w:type="dxa"/>
          </w:tcPr>
          <w:p w:rsidR="00F244BA" w:rsidRDefault="00AC19E4">
            <w:pPr>
              <w:pStyle w:val="CellColumn"/>
              <w:jc w:val="right"/>
            </w:pPr>
            <w:r>
              <w:rPr>
                <w:rFonts w:cs="Times New Roman"/>
              </w:rPr>
              <w:t>150,3</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sustavu državne uprave, članak 9. i članak 53. </w:t>
      </w:r>
    </w:p>
    <w:p w:rsidR="00F244BA" w:rsidRDefault="00AC19E4">
      <w:r>
        <w:t>- Zakon o upravljanju državnom imovinom</w:t>
      </w:r>
    </w:p>
    <w:p w:rsidR="00F244BA" w:rsidRDefault="00AC19E4">
      <w:pPr>
        <w:pStyle w:val="Naslov8"/>
        <w:jc w:val="left"/>
      </w:pPr>
      <w:r>
        <w:t>Opis aktivnosti</w:t>
      </w:r>
    </w:p>
    <w:p w:rsidR="00F244BA" w:rsidRDefault="00AC19E4">
      <w:r>
        <w:t>Sredstva u okviru ovog projekta utrošena su za tekuće održavanje objekata na lokaciji Prisavlje i Krležin Gvozd te poslovnih prostora inspekcije cestovnog prometa i cesta i Uprave unutarnje plovidbe izvan sjedišta Ministarstva. U 2024. godini u cilju dodatnog povećanja energetske učinkovitosti zgrade Kockica ugovoreni su radovi izgradnje sloarne elektrane. Izvođač je sukladno ugovoru izvršio ugradnju opreme potrebne za rad elektrane, a za puštanje u trajni pogon zatražena je potvrda operatora distribucijskog sustava koja nije zaprimljena u 2024. godini te radovi nisu izvršeni u cijelosti. Ujedno 2024. godini izvedena je druga faza radova na unapređenju elektroenergetskog napajanja i komunikacijske infrastrukture na lokaciji Krležin Gvozd.</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izvršenja ugovora o nabavi i ugradnja opreme za solarnu elektranu na zgradi Kockica</w:t>
            </w:r>
          </w:p>
        </w:tc>
        <w:tc>
          <w:tcPr>
            <w:tcW w:w="2551" w:type="dxa"/>
          </w:tcPr>
          <w:p w:rsidR="00F244BA" w:rsidRDefault="00AC19E4">
            <w:pPr>
              <w:pStyle w:val="CellColumn"/>
              <w:jc w:val="left"/>
            </w:pPr>
            <w:r>
              <w:rPr>
                <w:rFonts w:cs="Times New Roman"/>
              </w:rPr>
              <w:t>Izvršenje ugovorenih radova ugradnje opreme za solarnu elektranu na zgradi Kockica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80</w:t>
            </w:r>
          </w:p>
        </w:tc>
      </w:tr>
    </w:tbl>
    <w:p w:rsidR="00F244BA" w:rsidRDefault="00F244BA">
      <w:pPr>
        <w:jc w:val="left"/>
      </w:pPr>
    </w:p>
    <w:p w:rsidR="00F244BA" w:rsidRDefault="00AC19E4">
      <w:pPr>
        <w:pStyle w:val="Naslov4"/>
      </w:pPr>
      <w:r>
        <w:t>T754069 PROGRAM DODJELE DRŽAVNIH POTPORA SEKTORU MORA, PROMETA, PROMETNE INFRASTRUKTURE I POVEZANIM DJELATNOSTIMA U AKTUALNOJ PANDEMIJI COVID-a 19</w:t>
      </w:r>
    </w:p>
    <w:tbl>
      <w:tblPr>
        <w:tblStyle w:val="StilTablice"/>
        <w:tblW w:w="10206" w:type="dxa"/>
        <w:jc w:val="center"/>
        <w:tblLook w:val="04A0" w:firstRow="1" w:lastRow="0" w:firstColumn="1" w:lastColumn="0" w:noHBand="0" w:noVBand="1"/>
      </w:tblPr>
      <w:tblGrid>
        <w:gridCol w:w="1892"/>
        <w:gridCol w:w="1965"/>
        <w:gridCol w:w="1961"/>
        <w:gridCol w:w="1966"/>
        <w:gridCol w:w="1208"/>
        <w:gridCol w:w="121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T754069-PROGRAM DODJELE DRŽAVNIH POTPORA SEKTORU MORA, PROMETA, PROMETNE INFRASTRUKTURE I POVEZANIM DJELATNOSTIMA U AKTUALNOJ PANDEMIJI COVID-a 19</w:t>
            </w:r>
          </w:p>
        </w:tc>
        <w:tc>
          <w:tcPr>
            <w:tcW w:w="2041" w:type="dxa"/>
          </w:tcPr>
          <w:p w:rsidR="00F244BA" w:rsidRDefault="00AC19E4">
            <w:pPr>
              <w:pStyle w:val="CellColumn"/>
              <w:jc w:val="right"/>
            </w:pPr>
            <w:r>
              <w:rPr>
                <w:rFonts w:cs="Times New Roman"/>
              </w:rPr>
              <w:t>748.701</w:t>
            </w:r>
          </w:p>
        </w:tc>
        <w:tc>
          <w:tcPr>
            <w:tcW w:w="2041" w:type="dxa"/>
          </w:tcPr>
          <w:p w:rsidR="00F244BA" w:rsidRDefault="00AC19E4">
            <w:pPr>
              <w:pStyle w:val="CellColumn"/>
              <w:jc w:val="right"/>
            </w:pPr>
            <w:r>
              <w:rPr>
                <w:rFonts w:cs="Times New Roman"/>
              </w:rPr>
              <w:t>810.448</w:t>
            </w:r>
          </w:p>
        </w:tc>
        <w:tc>
          <w:tcPr>
            <w:tcW w:w="2041" w:type="dxa"/>
          </w:tcPr>
          <w:p w:rsidR="00F244BA" w:rsidRDefault="00AC19E4">
            <w:pPr>
              <w:pStyle w:val="CellColumn"/>
              <w:jc w:val="right"/>
            </w:pPr>
            <w:r>
              <w:rPr>
                <w:rFonts w:cs="Times New Roman"/>
              </w:rPr>
              <w:t>19.186</w:t>
            </w:r>
          </w:p>
        </w:tc>
        <w:tc>
          <w:tcPr>
            <w:tcW w:w="1224" w:type="dxa"/>
          </w:tcPr>
          <w:p w:rsidR="00F244BA" w:rsidRDefault="00AC19E4">
            <w:pPr>
              <w:pStyle w:val="CellColumn"/>
              <w:jc w:val="right"/>
            </w:pPr>
            <w:r>
              <w:rPr>
                <w:rFonts w:cs="Times New Roman"/>
              </w:rPr>
              <w:t>2,4</w:t>
            </w:r>
          </w:p>
        </w:tc>
        <w:tc>
          <w:tcPr>
            <w:tcW w:w="1224" w:type="dxa"/>
          </w:tcPr>
          <w:p w:rsidR="00F244BA" w:rsidRDefault="00AC19E4">
            <w:pPr>
              <w:pStyle w:val="CellColumn"/>
              <w:jc w:val="right"/>
            </w:pPr>
            <w:r>
              <w:rPr>
                <w:rFonts w:cs="Times New Roman"/>
              </w:rPr>
              <w:t>2,6</w:t>
            </w:r>
          </w:p>
        </w:tc>
      </w:tr>
    </w:tbl>
    <w:p w:rsidR="00F244BA" w:rsidRDefault="00F244BA">
      <w:pPr>
        <w:jc w:val="left"/>
      </w:pPr>
    </w:p>
    <w:p w:rsidR="00F244BA" w:rsidRDefault="00AC19E4">
      <w:pPr>
        <w:pStyle w:val="Naslov8"/>
        <w:jc w:val="left"/>
      </w:pPr>
      <w:r>
        <w:t>Zakonske i druge pravne osnove</w:t>
      </w:r>
    </w:p>
    <w:p w:rsidR="00F244BA" w:rsidRDefault="00AC19E4">
      <w:r>
        <w:t xml:space="preserve">- Komunikacija Komisije - Privremeni okvir za mjere državnih potpora u svrhu podrške gospodarstvu u aktualnoj pandemiji COVID - 19. </w:t>
      </w:r>
    </w:p>
    <w:p w:rsidR="00F244BA" w:rsidRDefault="00AC19E4">
      <w:r>
        <w:t xml:space="preserve">- Odluka o usvajanju Programa dodjele državnih potpora sektoru mora, prometa, prometne infrastrukture i povezanim djelatnostima u aktualnoj pandemiji COVID-a 19 </w:t>
      </w:r>
    </w:p>
    <w:p w:rsidR="00F244BA" w:rsidRDefault="00AC19E4">
      <w:r>
        <w:t xml:space="preserve">- Odluka Vlade RH o izmjenama i dopunama Programa dodjele državnih potpora sektoru mora, prometa, prometne infrastrukture i povezanim djelatnostima u aktualnoj pandemiji COVID-a 19 </w:t>
      </w:r>
    </w:p>
    <w:p w:rsidR="00F244BA" w:rsidRDefault="00AC19E4">
      <w:r>
        <w:t xml:space="preserve">- Sporazum o suradnji u provedbi Programa dodjele državnih potpora između MMPI i HABOR-a </w:t>
      </w:r>
    </w:p>
    <w:p w:rsidR="00F244BA" w:rsidRDefault="00AC19E4">
      <w:r>
        <w:t xml:space="preserve">- Protokol o operativnoj provedbi Sporazuma između MMPI i HBOR </w:t>
      </w:r>
    </w:p>
    <w:p w:rsidR="00F244BA" w:rsidRDefault="00AC19E4">
      <w:r>
        <w:t xml:space="preserve">- Ugovor o regresnoj naplati između MMPI i poslovnih banaka </w:t>
      </w:r>
    </w:p>
    <w:p w:rsidR="00F244BA" w:rsidRDefault="00AC19E4">
      <w:r>
        <w:t>- Službeni Registar državnih potpora</w:t>
      </w:r>
    </w:p>
    <w:p w:rsidR="00F244BA" w:rsidRDefault="00AC19E4">
      <w:pPr>
        <w:pStyle w:val="Naslov8"/>
        <w:jc w:val="left"/>
      </w:pPr>
      <w:r>
        <w:t>Opis aktivnosti</w:t>
      </w:r>
    </w:p>
    <w:p w:rsidR="00F244BA" w:rsidRDefault="00AC19E4">
      <w:r>
        <w:t xml:space="preserve">Instrumenti državne potpore uređeni ovim Programom bila su državna jamstva za nove zajmove i ugovore o leasingu poduzetnika kod kreditnih i financijskih institucija te Hrvatske banke za obnovu i razvitak, potpore u obliku subvencioniranih kamatnih stopa za zajmove i potpore u obliku dokapitalizacije. U slučaju dodjeljivanja potpora iz ovog Programa za potrebe refinanciranja ili restrukturiranja postojećih obaveza kod kreditnih i financijskih institucija, korist od novih plasmana osiguranih držanim jamstvom prenijeta je na krajnje korisnike u obliku smanjenja postojećih kamatnih stopa, produljenja roka otplate kredita ili leasinga s uključenim počekom te povrata, odnosno stavljanja izvan snage danih osobnih instrumenata osiguranja od strane fizičkih osoba vlasnika društava koji su korisnici jamstva. </w:t>
      </w:r>
    </w:p>
    <w:p w:rsidR="00F244BA" w:rsidRDefault="00AC19E4">
      <w:r>
        <w:t xml:space="preserve">Program dodjele državnih potpora sektoru mora, prometa, prometne infrastrukture i drugih povezanih djelatnosti u aktualnoj pandemiji COVID-19 završio je 30. lipnja 2022. godine. U 2024. godini s osnove ovog Programa nije bilo izdavanja novih jamstava, ali je protestirano jedno jamstvo izdano za dužnika Eurokurir d.o.o. Hrastina. </w:t>
      </w:r>
    </w:p>
    <w:p w:rsidR="00F244BA" w:rsidRDefault="00AC19E4">
      <w:r>
        <w:t>Dana 8. listopada 2024. godine korisnik jamstva Raiffeisenbank Austria d.d., temeljem Ugovora o jamstvu broj 81/30, sklopljenog 21. travnja 2021. godine za dužnika Eurokurir d.o.o., pozvala je na plaćanje dospjelog nepodmirenog duga s osnove glavnice radi otkaza ugovora o kreditu broj 21038010074.</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Plaćanja protestiranih jamstava s osnove sklopljenih ugovora o jamstvu na prvi poziv</w:t>
            </w:r>
          </w:p>
        </w:tc>
        <w:tc>
          <w:tcPr>
            <w:tcW w:w="2551" w:type="dxa"/>
          </w:tcPr>
          <w:p w:rsidR="00F244BA" w:rsidRDefault="00AC19E4">
            <w:pPr>
              <w:pStyle w:val="CellColumn"/>
              <w:jc w:val="left"/>
            </w:pPr>
            <w:r>
              <w:rPr>
                <w:rFonts w:cs="Times New Roman"/>
              </w:rPr>
              <w:t>Procjena očekivane stope gubitka - plaćanja po pozvanim jamstvima (protest) od strane jamca (države) u odnosu na vrijednost izdanih jamstava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 Registar državnih potpora</w:t>
            </w:r>
          </w:p>
        </w:tc>
        <w:tc>
          <w:tcPr>
            <w:tcW w:w="1020" w:type="dxa"/>
          </w:tcPr>
          <w:p w:rsidR="00F244BA" w:rsidRDefault="00AC19E4">
            <w:pPr>
              <w:pStyle w:val="CellColumn"/>
              <w:jc w:val="right"/>
            </w:pPr>
            <w:r>
              <w:rPr>
                <w:rFonts w:cs="Times New Roman"/>
              </w:rPr>
              <w:t>3,8</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3"/>
      </w:pPr>
      <w:r>
        <w:rPr>
          <w:rFonts w:cs="Times New Roman"/>
        </w:rPr>
        <w:lastRenderedPageBreak/>
        <w:t>3107 RAZVOJ TRŽIŠTA POŠTANSKIH USLUGA I ELEKTRONIČKIH KOMUNIKACIJA</w:t>
      </w:r>
    </w:p>
    <w:tbl>
      <w:tblPr>
        <w:tblStyle w:val="StilTablice"/>
        <w:tblW w:w="10206" w:type="dxa"/>
        <w:jc w:val="center"/>
        <w:tblLook w:val="04A0" w:firstRow="1" w:lastRow="0" w:firstColumn="1" w:lastColumn="0" w:noHBand="0" w:noVBand="1"/>
      </w:tblPr>
      <w:tblGrid>
        <w:gridCol w:w="1725"/>
        <w:gridCol w:w="2014"/>
        <w:gridCol w:w="2015"/>
        <w:gridCol w:w="2015"/>
        <w:gridCol w:w="1217"/>
        <w:gridCol w:w="1220"/>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3107-RAZVOJ TRŽIŠTA POŠTANSKIH USLUGA I ELEKTRONIČKIH KOMUNIKACIJA</w:t>
            </w:r>
          </w:p>
        </w:tc>
        <w:tc>
          <w:tcPr>
            <w:tcW w:w="2041" w:type="dxa"/>
          </w:tcPr>
          <w:p w:rsidR="00F244BA" w:rsidRDefault="00AC19E4">
            <w:pPr>
              <w:pStyle w:val="CellColumn"/>
              <w:jc w:val="right"/>
            </w:pPr>
            <w:r>
              <w:rPr>
                <w:rFonts w:cs="Times New Roman"/>
              </w:rPr>
              <w:t>14.941.933</w:t>
            </w:r>
          </w:p>
        </w:tc>
        <w:tc>
          <w:tcPr>
            <w:tcW w:w="2041" w:type="dxa"/>
          </w:tcPr>
          <w:p w:rsidR="00F244BA" w:rsidRDefault="00AC19E4">
            <w:pPr>
              <w:pStyle w:val="CellColumn"/>
              <w:jc w:val="right"/>
            </w:pPr>
            <w:r>
              <w:rPr>
                <w:rFonts w:cs="Times New Roman"/>
              </w:rPr>
              <w:t>25.354.519</w:t>
            </w:r>
          </w:p>
        </w:tc>
        <w:tc>
          <w:tcPr>
            <w:tcW w:w="2041" w:type="dxa"/>
          </w:tcPr>
          <w:p w:rsidR="00F244BA" w:rsidRDefault="00AC19E4">
            <w:pPr>
              <w:pStyle w:val="CellColumn"/>
              <w:jc w:val="right"/>
            </w:pPr>
            <w:r>
              <w:rPr>
                <w:rFonts w:cs="Times New Roman"/>
              </w:rPr>
              <w:t>25.290.442</w:t>
            </w:r>
          </w:p>
        </w:tc>
        <w:tc>
          <w:tcPr>
            <w:tcW w:w="1224" w:type="dxa"/>
          </w:tcPr>
          <w:p w:rsidR="00F244BA" w:rsidRDefault="00AC19E4">
            <w:pPr>
              <w:pStyle w:val="CellColumn"/>
              <w:jc w:val="right"/>
            </w:pPr>
            <w:r>
              <w:rPr>
                <w:rFonts w:cs="Times New Roman"/>
              </w:rPr>
              <w:t>99,7</w:t>
            </w:r>
          </w:p>
        </w:tc>
        <w:tc>
          <w:tcPr>
            <w:tcW w:w="1224" w:type="dxa"/>
          </w:tcPr>
          <w:p w:rsidR="00F244BA" w:rsidRDefault="00AC19E4">
            <w:pPr>
              <w:pStyle w:val="CellColumn"/>
              <w:jc w:val="right"/>
            </w:pPr>
            <w:r>
              <w:rPr>
                <w:rFonts w:cs="Times New Roman"/>
              </w:rPr>
              <w:t>169,3</w:t>
            </w:r>
          </w:p>
        </w:tc>
      </w:tr>
    </w:tbl>
    <w:p w:rsidR="00F244BA" w:rsidRDefault="00F244BA">
      <w:pPr>
        <w:jc w:val="left"/>
      </w:pPr>
    </w:p>
    <w:p w:rsidR="00F244BA" w:rsidRDefault="00AC19E4">
      <w:pPr>
        <w:pStyle w:val="Naslov8"/>
        <w:jc w:val="left"/>
      </w:pPr>
      <w:r>
        <w:t>Cilj 1. Visoka i ujednačena razvijenost širokopojasnog pristupa internetu</w:t>
      </w:r>
    </w:p>
    <w:p w:rsidR="00F244BA" w:rsidRDefault="00AC19E4">
      <w:pPr>
        <w:pStyle w:val="Naslov8"/>
        <w:jc w:val="left"/>
      </w:pPr>
      <w:r>
        <w:t>Opis provedbe cilja programa</w:t>
      </w:r>
    </w:p>
    <w:p w:rsidR="00F244BA" w:rsidRDefault="00AC19E4">
      <w:r>
        <w:t xml:space="preserve">Republika Hrvatska, unatoč brzom razvoju infrastrukture širokopojasnog pristupa, još uvijek ima značajan zaostatak gustoće širokopojasnih priključaka za prosjekom država članica Europske unije. Jedan od glavnih razloga zaostajanja u gustoći širokopojasnih priključaka je nedostatan i neravnomjeran razvoj širokopojasne infrastrukture, osobito u područjima u kojima ne postoji dostatan komercijalni interes za ulaganja u tu infrastrukturu.   </w:t>
      </w:r>
    </w:p>
    <w:p w:rsidR="00F244BA" w:rsidRDefault="00AC19E4">
      <w:r>
        <w:t xml:space="preserve">U skladu s navedenim, još uvijek značajan broj kućanstava, lokacija javne uprave, obrazovnih institucija i ustanova zdravstvene skrbi, kao i malih i srednjih poduzeća nije u mogućnosti pristupiti brzoj širokopojasnoj infrastrukturi i koristiti napredne digitalne usluge, čime se koči ujednačen regionalni razvoj u Hrvatskoj i iskorištavanje socioekonomske koristi vezane uz raspoloživost širokopojasnih pristupnih mreža sljedeće generacije.  </w:t>
      </w:r>
    </w:p>
    <w:p w:rsidR="00F244BA" w:rsidRDefault="00AC19E4">
      <w:r>
        <w:t xml:space="preserve">Isključenost Hrvatske kao cjeline, odnosno pojedinih njezinih regija iz procesa razvoja digitalnog gospodarstva, predstavlja jednu od najvećih strateških opasnosti za dugoročan gospodarski razvoj Hrvatske. Stoga je primarni cilj provesti utvrđene mjere javne politike, strategije i nacionalne programe vezane uz izgradnju širokopojasne infrastrukture.  </w:t>
      </w:r>
    </w:p>
    <w:p w:rsidR="00F244BA" w:rsidRDefault="00AC19E4">
      <w:r>
        <w:t xml:space="preserve">Nastavno na strateške ciljeve Digitalne agende za Europu, Europska komisija usvojila je novi strateški okvir nazvan „Europsko gigabitno društvo“, koji obuhvaća i nove ciljeve širokopojasnog pristupa koji postavljaju brzinu od 100 Mbit/s u smjeru korisnika kao najmanju brzinu za sva kućanstva u EU, uz mogućnost nadogradnje na brzine od 1 Gbit/s simetrično i više, te se potiču aktivnosti koje je potrebno provesti u cilju uvođenja 5G mreža.  </w:t>
      </w:r>
    </w:p>
    <w:p w:rsidR="00F244BA" w:rsidRDefault="00AC19E4">
      <w:r>
        <w:t xml:space="preserve">Kako bi se odgovorilo na zahtjevne ciljeve novoga strateškog okvira EU, početkom 2021. godine donesen je Nacionalni plan razvoja širokopojasnog pristupa u Republici Hrvatskoj u razdoblju od 2021. do 2027. godine (u daljnjem tekstu: Nacionalni plan).  Nacionalni plan je izrađen i u potpunosti usklađen s Nacionalnom razvojnom strategijom Republike Hrvatske do 2030. godine („Narodne novine“, br. 13/21), Razvojnim smjerom 3. Zelena i digitalna tranzicija, Strateški cilj 11. Digitalna tranzicija društva i gospodarstva, Strategijom digitalne Hrvatske za razdoblje do 2032. godine i  Nacionalnim planom oporavka i otpornosti 2021.-2026. </w:t>
      </w:r>
    </w:p>
    <w:p w:rsidR="00F244BA" w:rsidRDefault="00AC19E4">
      <w:r>
        <w:t xml:space="preserve">Nacionalnim planom, kao iskazom političke volje i opredjeljenja, definirana su četiri cilja, koja se u skladu sa Zakonom o sustavu strateškog planiranja i upravljanja razvojem Republike Hrvatske („Narodne novine“, br. 123/17 i 151/22) smatraju posebnim ciljevima kojima se pridonosi daljnjem ubrzanom razvoju elektroničkih komunikacijskih mreža i usluga u skladu sa zakonodavnim i regulatornim okvirom u području elektroničkih komunikacija.  </w:t>
      </w:r>
    </w:p>
    <w:p w:rsidR="00F244BA" w:rsidRDefault="00AC19E4">
      <w:r>
        <w:t xml:space="preserve">Provedbom navedenih akata strateškog planiranja omogućit će se dostupnost širokopojasnog pristupa s brzinama većim od 100 Mbit/s svim kućanstvima, gospodarskim subjektima i javnim korisnicima te pokrivanje urbanih područja, glavnih kopnenih prometnih pravaca i ruralnih područja 5G mrežama čime će se ukloniti digitalni jaz u dostupnosti širokopojasnog pristupa. Jednolika dostupnost širokopojasnog pristupa u cijeloj Hrvatskoj povećat će primjenu IKT-a u gospodarstvu i omogućiti punu digitalizaciju sustava javne uprave, čime će Hrvatska ostvarivati brži gospodarski rast i smanjiti zaostajanje u razvijenosti u odnosu na napredne države EU-a. </w:t>
      </w:r>
    </w:p>
    <w:p w:rsidR="00F244BA" w:rsidRDefault="00AC19E4">
      <w:r>
        <w:t xml:space="preserve">Nastavak provedbe projekata u sklopu Okvirnog nacionalnog programa za razvoj infrastrukture širokopojasnog pristupa u područjima u kojima ne postoji dostatan komercijalni interes za ulaganja planiran je u okviru Nacionalnog plana oporavka i otpornosti 2021.-2026., s ciljem smanjenja digitalnog jaza kroz povećanje nacionalne pokrivenosti </w:t>
      </w:r>
      <w:r>
        <w:lastRenderedPageBreak/>
        <w:t xml:space="preserve">mrežama vrlo velikog kapaciteta. Navedenom investicijom će se ruralnim područjima s demografskim, socijalnim i gospodarskim uvjetima koji su ispod nacionalnog prosjeka omogućiti dostupnost mreža vrlo velikog kapaciteta brzinama od najmanje 100 Mbit/s u smjeru prema korisniku (engl. download), glavnim društveno-ekonomskim pokretačima brzinama od najmanje 1 Gbit/s te posredno potaknuti investicije u postavljanje 5G mreža u ruralnim područjima. </w:t>
      </w:r>
    </w:p>
    <w:p w:rsidR="00F244BA" w:rsidRDefault="00AC19E4">
      <w:r>
        <w:t xml:space="preserve">Provedba Nacionalnog programa razvoja širokopojasne agregacijske infrastrukture u područjima u kojima ne postoji dostatan komercijalni interes za ulaganja nastavit će se u okviru novog Partnerskog sporazuma i Programa Konkuretnost i kohezija 2021.-2027. s ciljem izgradnje širokopojasne agregacijske mreže vrlo velikog kapaciteta kao preduvjet razvoja pristupnih mreža vrlo velikog kapaciteta. </w:t>
      </w:r>
    </w:p>
    <w:p w:rsidR="00F244BA" w:rsidRDefault="00AC19E4">
      <w:r>
        <w:t>Unatoč pozitivnom godišnjem rastu (10,3 %), Hrvatska je ispod prosjeka EU-a (78,8 %) kad je riječ o postotku kućanstava s pristupom mrežama vrlo velikog kapaciteta (67,8 %). Stoga će se nastaviti s provedbom mjera i aktivnosti usmjerenih na potporu uvođenju mreža vrlo velikog kapaciteta kako bi se u potpunosti premostio jaz između ruralnih i urbanih područja, među ostalim i podupiranjem potražnje za gigabitnim uslugama.</w:t>
      </w:r>
    </w:p>
    <w:p w:rsidR="00F244BA" w:rsidRDefault="00AC19E4">
      <w:pPr>
        <w:pStyle w:val="Naslov8"/>
        <w:jc w:val="left"/>
      </w:pPr>
      <w:r>
        <w:t>Cilj 2. Razvijeno tržište poštanskih usluga</w:t>
      </w:r>
    </w:p>
    <w:p w:rsidR="00F244BA" w:rsidRDefault="00AC19E4">
      <w:pPr>
        <w:pStyle w:val="Naslov8"/>
        <w:jc w:val="left"/>
      </w:pPr>
      <w:r>
        <w:t>Opis provedbe cilja programa</w:t>
      </w:r>
    </w:p>
    <w:p w:rsidR="00F244BA" w:rsidRDefault="00AC19E4">
      <w:r>
        <w:t xml:space="preserve">Zakonom o poštanskim uslugama („Narodne novine“, br. 144/12., 153/13., 78/15. i 110/19.) osigurana je potpuna liberalizacija tržišta poštanskih usluga u Republici Hrvatskoj od 1. siječnja 2013. godine, a HP – Hrvatska pošta d.d. tim je Zakonom stekla pravo i obvezu obavljanja univerzalne (poštanske) usluge u trajanju od 15 godina (od dana stupanja na snagu Zakona). Hrvatska regulatorna agencija za mrežne djelatnosti (HAKOM) obvezna je svakih pet godina provesti analizu stanja na tržištu poštanskih usluga radi utvrđivanja postoje li davatelji poštanskih usluga koji mogu osigurati obavljanje univerzalne usluge, te ako utvrdi njihovo postojanje, provesti postupak javnog natječaja.  </w:t>
      </w:r>
    </w:p>
    <w:p w:rsidR="00F244BA" w:rsidRDefault="00AC19E4">
      <w:r>
        <w:t>Osiguranje visoke razine pružanja univerzalne usluge po pristupačnoj cijeni svim korisnicima poštanskih usluga na cijelom području države te uspostava usklađenih načela regulacije u uvjetima liberaliziranog tržišta pridonijet će tržišnom natjecanju u području poštanskih usluga. Time se stvaraju preduvjeti za daljnji razvoj konkurentnog i dinamičnog tržišta poštanskih usluga, što će potaknuti otvaranje novoga investicijskog ciklusa, osobito u nove i inovativne usluge na poštanskom tržištu, kakve poznaju i razvijena tržišta država članica EU.</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0"/>
        <w:gridCol w:w="2551"/>
        <w:gridCol w:w="1020"/>
        <w:gridCol w:w="1020"/>
        <w:gridCol w:w="1025"/>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Udjel kućanstava u Republici Hrvatskoj kojima je dostupan širokopojasni pristup s brzinom u smjeru korisnika od najmanje 100 Mbit/s, uz mogućnost nadogradnje na brzine do 1 Gbit/s</w:t>
            </w:r>
          </w:p>
        </w:tc>
        <w:tc>
          <w:tcPr>
            <w:tcW w:w="2551" w:type="dxa"/>
          </w:tcPr>
          <w:p w:rsidR="00F244BA" w:rsidRDefault="00AC19E4">
            <w:pPr>
              <w:pStyle w:val="CellColumn"/>
              <w:jc w:val="left"/>
            </w:pPr>
            <w:r>
              <w:rPr>
                <w:rFonts w:cs="Times New Roman"/>
              </w:rPr>
              <w:t>Povećanje dostupnosti širokopojasne infrastrukture putem uvođenja mreža vrlo velikog kapaciteta u kućanstva na cijelom području Republike Hrvatske</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61</w:t>
            </w:r>
          </w:p>
        </w:tc>
        <w:tc>
          <w:tcPr>
            <w:tcW w:w="1020" w:type="dxa"/>
          </w:tcPr>
          <w:p w:rsidR="00F244BA" w:rsidRDefault="00AC19E4">
            <w:pPr>
              <w:pStyle w:val="CellColumn"/>
              <w:jc w:val="right"/>
            </w:pPr>
            <w:r>
              <w:rPr>
                <w:rFonts w:cs="Times New Roman"/>
              </w:rPr>
              <w:t>Europska komisija – Izvješće o stanju digitalnog desetljeća</w:t>
            </w:r>
          </w:p>
        </w:tc>
        <w:tc>
          <w:tcPr>
            <w:tcW w:w="1020" w:type="dxa"/>
          </w:tcPr>
          <w:p w:rsidR="00F244BA" w:rsidRDefault="00AC19E4">
            <w:pPr>
              <w:pStyle w:val="CellColumn"/>
              <w:jc w:val="right"/>
            </w:pPr>
            <w:r>
              <w:rPr>
                <w:rFonts w:cs="Times New Roman"/>
              </w:rPr>
              <w:t>70</w:t>
            </w:r>
          </w:p>
        </w:tc>
        <w:tc>
          <w:tcPr>
            <w:tcW w:w="1020" w:type="dxa"/>
          </w:tcPr>
          <w:p w:rsidR="00F244BA" w:rsidRDefault="00AC19E4">
            <w:pPr>
              <w:pStyle w:val="CellColumn"/>
              <w:jc w:val="right"/>
            </w:pPr>
            <w:r>
              <w:rPr>
                <w:rFonts w:cs="Times New Roman"/>
              </w:rPr>
              <w:t>67,8</w:t>
            </w:r>
          </w:p>
        </w:tc>
      </w:tr>
      <w:tr w:rsidR="00F244BA">
        <w:trPr>
          <w:jc w:val="center"/>
        </w:trPr>
        <w:tc>
          <w:tcPr>
            <w:tcW w:w="2551" w:type="dxa"/>
          </w:tcPr>
          <w:p w:rsidR="00F244BA" w:rsidRDefault="00AC19E4">
            <w:pPr>
              <w:pStyle w:val="CellColumn"/>
              <w:jc w:val="left"/>
            </w:pPr>
            <w:r>
              <w:rPr>
                <w:rFonts w:cs="Times New Roman"/>
              </w:rPr>
              <w:t>Broj redovitih poštanskih ureda u mreži poštanskih ureda davatelja univerzalne usluge</w:t>
            </w:r>
          </w:p>
        </w:tc>
        <w:tc>
          <w:tcPr>
            <w:tcW w:w="2551" w:type="dxa"/>
          </w:tcPr>
          <w:p w:rsidR="00F244BA" w:rsidRDefault="00AC19E4">
            <w:pPr>
              <w:pStyle w:val="CellColumn"/>
              <w:jc w:val="left"/>
            </w:pPr>
            <w:r>
              <w:rPr>
                <w:rFonts w:cs="Times New Roman"/>
              </w:rPr>
              <w:t>Davatelj univerzalne usluge obvezan je ustrojiti mrežu poštanskih ureda tako da mrežu poštanskih ureda mora činiti najmanje 700 redovitih poštanskih ureda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 700</w:t>
            </w:r>
          </w:p>
        </w:tc>
        <w:tc>
          <w:tcPr>
            <w:tcW w:w="1020" w:type="dxa"/>
          </w:tcPr>
          <w:p w:rsidR="00F244BA" w:rsidRDefault="00AC19E4">
            <w:pPr>
              <w:pStyle w:val="CellColumn"/>
              <w:jc w:val="right"/>
            </w:pPr>
            <w:r>
              <w:rPr>
                <w:rFonts w:cs="Times New Roman"/>
              </w:rPr>
              <w:t>Hrvatska regulatorna agencija za mrežne djelatnosti</w:t>
            </w:r>
          </w:p>
        </w:tc>
        <w:tc>
          <w:tcPr>
            <w:tcW w:w="1020" w:type="dxa"/>
          </w:tcPr>
          <w:p w:rsidR="00F244BA" w:rsidRDefault="00AC19E4">
            <w:pPr>
              <w:pStyle w:val="CellColumn"/>
              <w:jc w:val="right"/>
            </w:pPr>
            <w:r>
              <w:rPr>
                <w:rFonts w:cs="Times New Roman"/>
              </w:rPr>
              <w:t>≥ 700</w:t>
            </w:r>
          </w:p>
        </w:tc>
        <w:tc>
          <w:tcPr>
            <w:tcW w:w="1020" w:type="dxa"/>
          </w:tcPr>
          <w:p w:rsidR="00F244BA" w:rsidRDefault="00AC19E4">
            <w:pPr>
              <w:pStyle w:val="CellColumn"/>
              <w:jc w:val="right"/>
            </w:pPr>
            <w:r>
              <w:rPr>
                <w:rFonts w:cs="Times New Roman"/>
              </w:rPr>
              <w:t>&gt; 700</w:t>
            </w:r>
          </w:p>
        </w:tc>
      </w:tr>
    </w:tbl>
    <w:p w:rsidR="00F244BA" w:rsidRDefault="00F244BA">
      <w:pPr>
        <w:jc w:val="left"/>
      </w:pPr>
    </w:p>
    <w:p w:rsidR="00F244BA" w:rsidRDefault="00AC19E4">
      <w:pPr>
        <w:pStyle w:val="Naslov4"/>
      </w:pPr>
      <w:r>
        <w:t>A570340 RAZVOJ ELEKTRONIČKIH KOMUNIKACIJA, INFORMACIJSKOG DRUŠTVA I POŠTANSKIH USLUGA</w:t>
      </w:r>
    </w:p>
    <w:tbl>
      <w:tblPr>
        <w:tblStyle w:val="StilTablice"/>
        <w:tblW w:w="10206" w:type="dxa"/>
        <w:jc w:val="center"/>
        <w:tblLook w:val="04A0" w:firstRow="1" w:lastRow="0" w:firstColumn="1" w:lastColumn="0" w:noHBand="0" w:noVBand="1"/>
      </w:tblPr>
      <w:tblGrid>
        <w:gridCol w:w="1859"/>
        <w:gridCol w:w="1975"/>
        <w:gridCol w:w="1971"/>
        <w:gridCol w:w="1975"/>
        <w:gridCol w:w="1210"/>
        <w:gridCol w:w="1216"/>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A570340-RAZVOJ ELEKTRONIČKIH KOMUNIKACIJA, INFORMACIJSKOG DRUŠTVA I POŠTANSKIH USLUGA</w:t>
            </w:r>
          </w:p>
        </w:tc>
        <w:tc>
          <w:tcPr>
            <w:tcW w:w="2041" w:type="dxa"/>
          </w:tcPr>
          <w:p w:rsidR="00F244BA" w:rsidRDefault="00AC19E4">
            <w:pPr>
              <w:pStyle w:val="CellColumn"/>
              <w:jc w:val="right"/>
            </w:pPr>
            <w:r>
              <w:rPr>
                <w:rFonts w:cs="Times New Roman"/>
              </w:rPr>
              <w:t>169.219</w:t>
            </w:r>
          </w:p>
        </w:tc>
        <w:tc>
          <w:tcPr>
            <w:tcW w:w="2041" w:type="dxa"/>
          </w:tcPr>
          <w:p w:rsidR="00F244BA" w:rsidRDefault="00AC19E4">
            <w:pPr>
              <w:pStyle w:val="CellColumn"/>
              <w:jc w:val="right"/>
            </w:pPr>
            <w:r>
              <w:rPr>
                <w:rFonts w:cs="Times New Roman"/>
              </w:rPr>
              <w:t>192.250</w:t>
            </w:r>
          </w:p>
        </w:tc>
        <w:tc>
          <w:tcPr>
            <w:tcW w:w="2041" w:type="dxa"/>
          </w:tcPr>
          <w:p w:rsidR="00F244BA" w:rsidRDefault="00AC19E4">
            <w:pPr>
              <w:pStyle w:val="CellColumn"/>
              <w:jc w:val="right"/>
            </w:pPr>
            <w:r>
              <w:rPr>
                <w:rFonts w:cs="Times New Roman"/>
              </w:rPr>
              <w:t>181.263</w:t>
            </w:r>
          </w:p>
        </w:tc>
        <w:tc>
          <w:tcPr>
            <w:tcW w:w="1224" w:type="dxa"/>
          </w:tcPr>
          <w:p w:rsidR="00F244BA" w:rsidRDefault="00AC19E4">
            <w:pPr>
              <w:pStyle w:val="CellColumn"/>
              <w:jc w:val="right"/>
            </w:pPr>
            <w:r>
              <w:rPr>
                <w:rFonts w:cs="Times New Roman"/>
              </w:rPr>
              <w:t>94,3</w:t>
            </w:r>
          </w:p>
        </w:tc>
        <w:tc>
          <w:tcPr>
            <w:tcW w:w="1224" w:type="dxa"/>
          </w:tcPr>
          <w:p w:rsidR="00F244BA" w:rsidRDefault="00AC19E4">
            <w:pPr>
              <w:pStyle w:val="CellColumn"/>
              <w:jc w:val="right"/>
            </w:pPr>
            <w:r>
              <w:rPr>
                <w:rFonts w:cs="Times New Roman"/>
              </w:rPr>
              <w:t>107,1</w:t>
            </w:r>
          </w:p>
        </w:tc>
      </w:tr>
    </w:tbl>
    <w:p w:rsidR="00F244BA" w:rsidRDefault="00F244BA">
      <w:pPr>
        <w:jc w:val="left"/>
      </w:pPr>
    </w:p>
    <w:p w:rsidR="00F244BA" w:rsidRDefault="00AC19E4">
      <w:pPr>
        <w:pStyle w:val="Naslov8"/>
        <w:jc w:val="left"/>
      </w:pPr>
      <w:r>
        <w:t>Zakonske i druge pravne osnove</w:t>
      </w:r>
    </w:p>
    <w:p w:rsidR="00F244BA" w:rsidRDefault="00AC19E4">
      <w:r>
        <w:t xml:space="preserve">- Uredba o potvrđivanju (ratifikaciji) Statuta i Konvencije Međunarodne udruge za telekomunikacije potpisanih u Ženevi, 22. prosinca 1992. godine, članak 28. Statuta, članak 33. Konvencije </w:t>
      </w:r>
    </w:p>
    <w:p w:rsidR="00F244BA" w:rsidRDefault="00AC19E4">
      <w:r>
        <w:t xml:space="preserve">- Zakon o potvrđivanju Instrumenta kojim se mijenja i dopunjuje Konvencija o uspostavljanju Europskog ureda za radiokomunikacije (ERO), članak 12. Konvencije </w:t>
      </w:r>
    </w:p>
    <w:p w:rsidR="00F244BA" w:rsidRDefault="00AC19E4">
      <w:r>
        <w:t xml:space="preserve">- Zakon o elektroničkim komunikacijama, članak 6. stavak 3. </w:t>
      </w:r>
    </w:p>
    <w:p w:rsidR="00F244BA" w:rsidRDefault="00AC19E4">
      <w:r>
        <w:t xml:space="preserve">- Zakon o potvrđivanju Općih pravila Svjetske poštanske unije, članak 150., stavci 1., 2. i 3. i članak 151. </w:t>
      </w:r>
    </w:p>
    <w:p w:rsidR="00F244BA" w:rsidRDefault="00AC19E4">
      <w:r>
        <w:t>- Zakon o potvrđivanju Prvog dodatnog protokola uz Opća pravila Svjetske poštanske unije, članak XIII.</w:t>
      </w:r>
    </w:p>
    <w:p w:rsidR="00F244BA" w:rsidRDefault="00AC19E4">
      <w:pPr>
        <w:pStyle w:val="Naslov8"/>
        <w:jc w:val="left"/>
      </w:pPr>
      <w:r>
        <w:t>Opis aktivnosti</w:t>
      </w:r>
    </w:p>
    <w:p w:rsidR="00F244BA" w:rsidRDefault="00AC19E4">
      <w:r>
        <w:t xml:space="preserve">Proračunska sredstva s ove aktivnosti u 2024. godini utrošena su za plaćanje obveza za članarine i norme (i drugih propisanih godišnjih doprinosa) u europskim i međunarodnim organizacijama i institucijama iz područja elektroničkih komunikacija, informacijskog društva, radijske opreme i elektromagnetske kompatibilnosti (Međunarodna telekomunikacijska unija – ITU i druga specijalizirana UN-ova tijela, Europska konferencija poštanskih i telekomunikacijskih uprava – CEPT, Odbor za elektroničke komunikacije – ECC, Europski institut za telekomunikacijske norme – ETSI, međunarodne organizacije za satelitske radijske komunikacije i dr.), te za članarine (i druge propisane godišnje doprinose) u europskim i međunarodnim poštanskim organizacijama i institucijama (Svjetska poštanska unija – UPU, Europska konferencija poštanskih i telekomunikacijskih uprava – CEPT, Europski odbor za poštansku regulaciju – CERP i dr.), kojih je Republika Hrvatska punopravni član, u iznosu od 171.963 €. Sredstva su utrošena i za suorganizaciju i pokroviteljstvo 47. međunarodnog znanstveno-stručnog i tehnološkog skupa "MIPRO 2024.", koji je najveći nekomercijalni skup u Republici Hrvatskoj u području informacijskih i komunikacijskih tehnologija, elektronike i mikroelektronike, te za suorganizaciju i pokroviteljstvo jubilarnog 66. međunarodnog simpozija "Elektronika u pomorstvu – ELMAR 2024.", znanstvene konferencije u području multimedijskih komunikacija, obrade slike i video signala, navigacijskih sustava, obrade govora i zvuka, telekomunikacija, radijskih komunikacija te elektronike u pomorstvu, u ukupnom iznosu od 9.300 €. </w:t>
      </w:r>
    </w:p>
    <w:p w:rsidR="00F244BA" w:rsidRDefault="00AC19E4">
      <w:r>
        <w:t>Planirani ciljevi ove aktivnosti u 2024. godini su postignuti, aktivnost se provodila planiranom dinamikom i nije bilo nikakvih teškoća u njezinu izvršavanju.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Plaćene obveze za članarine i norme (i druge propisane godišnje doprinose) u europskim i međunarodnim organizacijama i institucijama</w:t>
            </w:r>
          </w:p>
        </w:tc>
        <w:tc>
          <w:tcPr>
            <w:tcW w:w="2551" w:type="dxa"/>
          </w:tcPr>
          <w:p w:rsidR="00F244BA" w:rsidRDefault="00AC19E4">
            <w:pPr>
              <w:pStyle w:val="CellColumn"/>
              <w:jc w:val="left"/>
            </w:pPr>
            <w:r>
              <w:rPr>
                <w:rFonts w:cs="Times New Roman"/>
              </w:rPr>
              <w:t>Za članstvo u europskim i međunarodnim organizacijama nadležnima za elektroničke komunikacije i poštanske usluge RH plaća propisane iznose obveza za članarine i norme (i druge propisane godišnje doprinose)</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lastRenderedPageBreak/>
        <w:t>A754032 NAKNADA KOJA SE DODJELJUJE PODUZETNICIMA KOJIMA JE POVJERENO OBAVLJANJE UNIVERZALNE POŠTANSKE USLUGE</w:t>
      </w:r>
    </w:p>
    <w:tbl>
      <w:tblPr>
        <w:tblStyle w:val="StilTablice"/>
        <w:tblW w:w="10206" w:type="dxa"/>
        <w:jc w:val="center"/>
        <w:tblLook w:val="04A0" w:firstRow="1" w:lastRow="0" w:firstColumn="1" w:lastColumn="0" w:noHBand="0" w:noVBand="1"/>
      </w:tblPr>
      <w:tblGrid>
        <w:gridCol w:w="1759"/>
        <w:gridCol w:w="2004"/>
        <w:gridCol w:w="2004"/>
        <w:gridCol w:w="2005"/>
        <w:gridCol w:w="1215"/>
        <w:gridCol w:w="1219"/>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A754032-NAKNADA KOJA SE DODJELJUJE PODUZETNICIMA KOJIMA JE POVJERENO OBAVLJANJE UNIVERZALNE POŠTANSKE USLUGE</w:t>
            </w:r>
          </w:p>
        </w:tc>
        <w:tc>
          <w:tcPr>
            <w:tcW w:w="2041" w:type="dxa"/>
          </w:tcPr>
          <w:p w:rsidR="00F244BA" w:rsidRDefault="00AC19E4">
            <w:pPr>
              <w:pStyle w:val="CellColumn"/>
              <w:jc w:val="right"/>
            </w:pPr>
            <w:r>
              <w:rPr>
                <w:rFonts w:cs="Times New Roman"/>
              </w:rPr>
              <w:t>14.772.715</w:t>
            </w:r>
          </w:p>
        </w:tc>
        <w:tc>
          <w:tcPr>
            <w:tcW w:w="2041" w:type="dxa"/>
          </w:tcPr>
          <w:p w:rsidR="00F244BA" w:rsidRDefault="00AC19E4">
            <w:pPr>
              <w:pStyle w:val="CellColumn"/>
              <w:jc w:val="right"/>
            </w:pPr>
            <w:r>
              <w:rPr>
                <w:rFonts w:cs="Times New Roman"/>
              </w:rPr>
              <w:t>25.111.834</w:t>
            </w:r>
          </w:p>
        </w:tc>
        <w:tc>
          <w:tcPr>
            <w:tcW w:w="2041" w:type="dxa"/>
          </w:tcPr>
          <w:p w:rsidR="00F244BA" w:rsidRDefault="00AC19E4">
            <w:pPr>
              <w:pStyle w:val="CellColumn"/>
              <w:jc w:val="right"/>
            </w:pPr>
            <w:r>
              <w:rPr>
                <w:rFonts w:cs="Times New Roman"/>
              </w:rPr>
              <w:t>25.109.179</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170,0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poštanskim uslugama, članak 67. stavak 2., članak 48. stavak 5. </w:t>
      </w:r>
    </w:p>
    <w:p w:rsidR="00F244BA" w:rsidRDefault="00AC19E4">
      <w:r>
        <w:t xml:space="preserve">- Pravilnik o obavljanju univerzalne usluge (Hrvatska regulatorna agencija za mrežne djelatnosti)  </w:t>
      </w:r>
    </w:p>
    <w:p w:rsidR="00F244BA" w:rsidRDefault="00AC19E4">
      <w:r>
        <w:t xml:space="preserve">- Naputak o izračunu i naknadi neto troška univerzalne usluge i procjene nepravednog financijskog opterećenja od 31. kolovoza 2015. (Hrvatska regulatorna agencija za mrežne djelatnosti)  </w:t>
      </w:r>
    </w:p>
    <w:p w:rsidR="00F244BA" w:rsidRDefault="00AC19E4">
      <w:r>
        <w:t xml:space="preserve">- Odluka Vijeća Hrvatske regulatorne agencije za mrežne djelatnosti  </w:t>
      </w:r>
    </w:p>
    <w:p w:rsidR="00F244BA" w:rsidRDefault="00AC19E4">
      <w:r>
        <w:t xml:space="preserve">- Zakon o državnim potporama  </w:t>
      </w:r>
    </w:p>
    <w:p w:rsidR="00F244BA" w:rsidRDefault="00AC19E4">
      <w:r>
        <w:t>- Odluka o donošenju Smjernica politike državnih potpora za razdoblje 2022.-2024.</w:t>
      </w:r>
    </w:p>
    <w:p w:rsidR="00F244BA" w:rsidRDefault="00AC19E4">
      <w:pPr>
        <w:pStyle w:val="Naslov8"/>
        <w:jc w:val="left"/>
      </w:pPr>
      <w:r>
        <w:t>Opis aktivnosti</w:t>
      </w:r>
    </w:p>
    <w:p w:rsidR="00F244BA" w:rsidRDefault="00AC19E4">
      <w:r>
        <w:t xml:space="preserve">Sredstva utrošena u okviru ove aktivnosti predstavljaju naknadu koja se dodjeljuje poduzetnicima kojima je povjereno obavljanje univerzalne poštanske usluge u ukupnom iznosu od 25.109.179,37 €. Cilj ove aktivnosti je obavljanje usluge od općeg gospodarskog interesa (Services of General Economic Interest – SGEI), odnosno univerzalne usluge za sve korisnike poštanskih usluga, pod jednakim uvjetima, na cijelom području Republike Hrvatske. </w:t>
      </w:r>
    </w:p>
    <w:p w:rsidR="00F244BA" w:rsidRDefault="00AC19E4">
      <w:r>
        <w:t xml:space="preserve">Zakonom o poštanskim uslugama propisano je obavljanje univerzalne (poštanske) usluge kao usluge od interesa za Republiku Hrvatsku pa se u skladu s tim univerzalna usluga smatra uslugom od općeg gospodarskog interesa. Odredbom članka 67., stavka 2. tog Zakona, HP-Hrvatska pošta d.d. stekla je pravo i obvezu obavljanja univerzalne usluge u trajanju od 15 godina (od dana stupanja na snagu Zakona), a Hrvatska regulatorna agencija za mrežne djelatnosti (HAKOM) obvezna je svakih pet godina provesti analizu stanja na tržištu poštanskih usluga radi utvrđivanja postoje li davatelji poštanskih usluga koji mogu osigurati obavljanje univerzalne usluge. Ukoliko HAKOM utvrdi njihovo postojanje, dužna je provesti postupak javnog natječaja. </w:t>
      </w:r>
    </w:p>
    <w:p w:rsidR="00F244BA" w:rsidRDefault="00AC19E4">
      <w:r>
        <w:t xml:space="preserve">Zakonom o poštanskim uslugama propisan je i postupak naknade nepravednog financijskog opterećenja, ako obveza pružanja univerzalne usluge za davatelja te usluge stvara neto trošak. HAKOM svojom odlukom utvrđuje iznos neto troška koji predstavlja nepravedno financijsko opterećenje davatelja univerzalne usluge, a koji se, na temelju članka 48., stavka 5. navedenog Zakona, isplaćuje iz sredstava državnog proračuna RH, u skladu s pravilima o državnim potporama.  </w:t>
      </w:r>
    </w:p>
    <w:p w:rsidR="00F244BA" w:rsidRDefault="00AC19E4">
      <w:r>
        <w:t xml:space="preserve">Ministarstvo mora, prometa i infrastrukture je davatelj državne potpore prema Pojedinačnoj državnoj potpori HP-Hrvatskoj pošti d.d. u obliku naknade za obavljanje univerzalne usluge za razdoblje od 2019. do 2023. godine, na koji je Ministarstvo financija dalo suglasnost. Vijeće HAKOM-a donijelo je odluku (KLASA: UP/I-344-02/24-06/01, URBROJ: 376-04-24-03) 12. rujna 2024. godine, kojom je utvrđeno da iznos od 14.954.492 € predstavlja nepravedno financijsko opterećenje za davatelja univerzalne usluge, HP-Hrvatsku poštu d.d. u 2023. godini, te je na temelju te odluke i u skladu s Pojedinačnom državnom potporom od 2019. do 2023. godine isplaćen utvrđeni iznos davatelju univerzalne usluge. </w:t>
      </w:r>
    </w:p>
    <w:p w:rsidR="00F244BA" w:rsidRDefault="00AC19E4">
      <w:r>
        <w:lastRenderedPageBreak/>
        <w:t xml:space="preserve">Također, Ministarstvo mora, prometa i infrastrukture je davatelj državne potpore prema Pojedinačnoj državnoj potpori HP – Hrvatskoj pošti d.d. u obliku naknade za obavljanje univerzalne usluge za razdoblje od 2024. do 2027. godine, na koji je Ministarstvo financija dalo suglasnost. Na temelju Odluke ministra o isplati proračunskih sredstava za naknadu koja se dodjeljuje poduzetnicima kojima je povjereno obavljanje univerzalne poštanske usluge (KLASA: 402-01/23-03/244, URBROJ: 530-07-2-2-2-24-6) od 3. travnja 2024. godine, potpisan je, između MMPI i HP-Hrvatske pošte d.d., UGOVOR (broj: PN 01/SEKP/2024., KLASA: 402-01/23-03/244, URBROJ: 530-07-2-2-2-24-8) od 19. travnja 2024. godine, te je na temelju toga i u skladu s Pojedinačnom državnom potporom od 2024. do 2027. godine isplaćeno ukupno 10.154.687,37 € za prva tri kvartala 2024. godine. </w:t>
      </w:r>
    </w:p>
    <w:p w:rsidR="00F244BA" w:rsidRDefault="00AC19E4">
      <w:r>
        <w:t>Planirani cilj ove aktivnosti u 2024. godini je izvršen.</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0"/>
        <w:gridCol w:w="2551"/>
        <w:gridCol w:w="1020"/>
        <w:gridCol w:w="1020"/>
        <w:gridCol w:w="1025"/>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isplaćene naknade koja se dodjeljuje poduzetnicima kojima je povjereno obavljanje univerzalne poštanske usluge slijedom odluke Hrvatske regulatorne agencije za mrežne djelatnosti</w:t>
            </w:r>
          </w:p>
        </w:tc>
        <w:tc>
          <w:tcPr>
            <w:tcW w:w="2551" w:type="dxa"/>
          </w:tcPr>
          <w:p w:rsidR="00F244BA" w:rsidRDefault="00AC19E4">
            <w:pPr>
              <w:pStyle w:val="CellColumn"/>
              <w:jc w:val="left"/>
            </w:pPr>
            <w:r>
              <w:rPr>
                <w:rFonts w:cs="Times New Roman"/>
              </w:rPr>
              <w:t>Hrvatska regulatorna agencija za mrežne djelatnosti odlukom utvrđuje iznos neto troška koji predstavlja nepravedno financijsko opterećenje davatelja univerzalne usluge, a koji se isplaćuje iz sredstava državnog proračuna RH, u skladu s pravilima o državnim potporama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Hrvatska regulatorna agencija za mrežne djelatnosti,   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A820032 POTICANJE RAZVOJA ŠIROKOPOJASNOG PRISTUPA INTERNETU</w:t>
      </w:r>
    </w:p>
    <w:tbl>
      <w:tblPr>
        <w:tblStyle w:val="StilTablice"/>
        <w:tblW w:w="10206" w:type="dxa"/>
        <w:jc w:val="center"/>
        <w:tblLook w:val="04A0" w:firstRow="1" w:lastRow="0" w:firstColumn="1" w:lastColumn="0" w:noHBand="0" w:noVBand="1"/>
      </w:tblPr>
      <w:tblGrid>
        <w:gridCol w:w="1881"/>
        <w:gridCol w:w="1970"/>
        <w:gridCol w:w="1960"/>
        <w:gridCol w:w="1971"/>
        <w:gridCol w:w="1209"/>
        <w:gridCol w:w="1215"/>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A820032-POTICANJE RAZVOJA ŠIROKOPOJASNOG PRISTUPA INTERNETU</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50.435</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elektroničkim komunikacijama, članci 59. i 60. </w:t>
      </w:r>
    </w:p>
    <w:p w:rsidR="00F244BA" w:rsidRDefault="00AC19E4">
      <w:r>
        <w:t xml:space="preserve">- Zakon o mjerama za smanjenje troškova postavljanja elektroničkih komunikacijskih mreža velikih brzina </w:t>
      </w:r>
    </w:p>
    <w:p w:rsidR="00F244BA" w:rsidRDefault="00AC19E4">
      <w:r>
        <w:t xml:space="preserve">- Nacionalni plan razvoja širokopojasnog pristupa u Republici Hrvatskoj u razdoblju od 2021. do 2027. godine </w:t>
      </w:r>
    </w:p>
    <w:p w:rsidR="00F244BA" w:rsidRDefault="00AC19E4">
      <w:r>
        <w:t xml:space="preserve">- Okvirni nacionalni program za razvoj infrastrukture širokopojasnog pristupa u područjima u kojima ne postoji dostatan komercijalni interes za ulaganja </w:t>
      </w:r>
    </w:p>
    <w:p w:rsidR="00F244BA" w:rsidRDefault="00AC19E4">
      <w:r>
        <w:t>- Nacionalni program razvoja širokopojasne agregacijske infrastrukture u područjima u kojima ne postoji dostatan komercijalni interes za ulaganja, kao preduvjet razvoja pristupnih mreža sljedeće generacije (NGA).</w:t>
      </w:r>
    </w:p>
    <w:p w:rsidR="00F244BA" w:rsidRDefault="00AC19E4">
      <w:pPr>
        <w:pStyle w:val="Naslov8"/>
        <w:jc w:val="left"/>
      </w:pPr>
      <w:r>
        <w:t>Opis aktivnosti</w:t>
      </w:r>
    </w:p>
    <w:p w:rsidR="00F244BA" w:rsidRDefault="00AC19E4">
      <w:r>
        <w:t xml:space="preserve">U skladu s Nacionalnom razvojnom strategijom Republike Hrvatske do 2030. godine (NN 13/21) i razvojnim smjerom 3. Zelena i digitalna tranzicija, strateški cilj 11. Digitalna tranzicija društva i gospodarstva, kao prioritet provedbe politike na području razvoja širokopojasnih elektroničkih komunikacijskih mreža planiran je razvoj i </w:t>
      </w:r>
      <w:r>
        <w:lastRenderedPageBreak/>
        <w:t xml:space="preserve">izgradnja širokopojasne infrastrukture i elektroničkih komunikacijskih mreža vrlo velikog kapaciteta koje omogućuju gigabitnu povezivost.   </w:t>
      </w:r>
    </w:p>
    <w:p w:rsidR="00F244BA" w:rsidRDefault="00AC19E4">
      <w:r>
        <w:t xml:space="preserve">Vlada RH je 11. ožujka 2021. godine donijela Nacionalni plan razvoja širokopojasnog pristupa u Republici Hrvatskoj u razdoblju od 2021. do 2027. godine (NN 26/21) kao srednjoročni akt strateškog planiranja kojim se podupire provedba strateškog okvira NRS 2030. i Strategije digitalne Hrvatske za razdoblje do 2032. godine (NN 2/23). </w:t>
      </w:r>
    </w:p>
    <w:p w:rsidR="00F244BA" w:rsidRDefault="00AC19E4">
      <w:r>
        <w:t xml:space="preserve">Nacionalni plan predstavlja kontinuitet politike Vlade Republike Hrvatske u strateškom planiranju razvoja širokopojasnog pristupa u Republici Hrvatskoj, s ciljem daljnjeg razvoja pozitivnih stečevina razvoja širokopojasnog pristupa zacrtanih strategijama razvoja širokopojasnog pristupa za razdoblja 2006.-2008., 2009.-2012., 2012.-2015. i  2016.-2020.  </w:t>
      </w:r>
    </w:p>
    <w:p w:rsidR="00F244BA" w:rsidRDefault="00AC19E4">
      <w:r>
        <w:t xml:space="preserve">Provedbom Nacionalnog plana do 2027. godine omogućit će se dostupnost širokopojasnog pristupa s brzinama većim od 100 Mbit/s svim kućanstvima, gospodarskim subjektima i javnim korisnicima te pokrivanje urbanih područja, glavnih kopnenih prometnih pravaca i ruralnih područja 5G mrežama, čime će se smanjiti digitalni jaz između urbanih i ruralnih područja Republike Hrvatske.  </w:t>
      </w:r>
    </w:p>
    <w:p w:rsidR="00F244BA" w:rsidRDefault="00AC19E4">
      <w:r>
        <w:t xml:space="preserve">Dostupnost mreža vrlo velikog kapaciteta (gigabitna povezivost) i 5G mreža dat će poticaj širokom korištenju i primjeni IKT-a u gospodarstvu i kućanstvima, omogućit će punu digitalizaciju sustava javne uprave te je u konačnici realno za očekivati da će Republika Hrvatska u narednom razdoblju ostvarivati brži gospodarski rast.  </w:t>
      </w:r>
    </w:p>
    <w:p w:rsidR="00F244BA" w:rsidRDefault="00AC19E4">
      <w:r>
        <w:t xml:space="preserve">Na ovoj aktivnosti u 2024. godini planirana su proračunska sredstva na temelju potrebe za provedbom postupka vrednovanja Nacionalnog plana razvoja širokopojasnog pristupa u Republici Hrvatskoj u razdoblju od 2021. do 2027. godine, s obzirom da će se postupak vrednovanja izvršiti u 2025. godini planirana sredstva za tu namjenu ostala su neutrošena.   </w:t>
      </w:r>
    </w:p>
    <w:p w:rsidR="00F244BA" w:rsidRDefault="00AC19E4">
      <w:r>
        <w:t>Imajući u vidu da je tijekom 2024. godine ostvarena ciljana vrijednost za broj održanih sastanaka radne skupine za 5G mreže dok su radionice o informiranju jedinica lokalne i područne (regionalne) samouprave o ključnim odredbama prostornih planova vezanim uz postavljanje elektroničkih komunikacijskih mreža planirane u 2025. godini, ciljane vrijednosti pokazatelja rezultata za 2024. godinu su djelomične ostvarene.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0"/>
        <w:gridCol w:w="2551"/>
        <w:gridCol w:w="1020"/>
        <w:gridCol w:w="1020"/>
        <w:gridCol w:w="1025"/>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održanih skupova i javnih tribina</w:t>
            </w:r>
          </w:p>
        </w:tc>
        <w:tc>
          <w:tcPr>
            <w:tcW w:w="2551" w:type="dxa"/>
          </w:tcPr>
          <w:p w:rsidR="00F244BA" w:rsidRDefault="00AC19E4">
            <w:pPr>
              <w:pStyle w:val="CellColumn"/>
              <w:jc w:val="left"/>
            </w:pPr>
            <w:r>
              <w:rPr>
                <w:rFonts w:cs="Times New Roman"/>
              </w:rPr>
              <w:t>Informiranje jedinica lokalne i područne (regionalne) samouprave o ključnim odredbama prostornih planova vezanim uz postavljanje elektroničkih komunikacijskih mreža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Hrvatska regulatorna agencija za mrežne djelatnosti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0</w:t>
            </w:r>
          </w:p>
        </w:tc>
      </w:tr>
      <w:tr w:rsidR="00F244BA">
        <w:trPr>
          <w:jc w:val="center"/>
        </w:trPr>
        <w:tc>
          <w:tcPr>
            <w:tcW w:w="2551" w:type="dxa"/>
          </w:tcPr>
          <w:p w:rsidR="00F244BA" w:rsidRDefault="00AC19E4">
            <w:pPr>
              <w:pStyle w:val="CellColumn"/>
              <w:jc w:val="left"/>
            </w:pPr>
            <w:r>
              <w:rPr>
                <w:rFonts w:cs="Times New Roman"/>
              </w:rPr>
              <w:t>Broj održanih sastanaka radne skupine za 5G mreže</w:t>
            </w:r>
          </w:p>
        </w:tc>
        <w:tc>
          <w:tcPr>
            <w:tcW w:w="2551" w:type="dxa"/>
          </w:tcPr>
          <w:p w:rsidR="00F244BA" w:rsidRDefault="00AC19E4">
            <w:pPr>
              <w:pStyle w:val="CellColumn"/>
              <w:jc w:val="left"/>
            </w:pPr>
            <w:r>
              <w:rPr>
                <w:rFonts w:cs="Times New Roman"/>
              </w:rPr>
              <w:t>Izvješćivanje o napretku uvođenja 5G mreža, identificiranje uočenih prepreka i teškoća vezanih uz uvođenje 5G mreža, suradnja radne skupine s tijelima državne uprave nadležnima za digitalno društvo</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Hrvatska regulatorna agencija za mrežne djelatnosti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1</w:t>
            </w:r>
          </w:p>
        </w:tc>
      </w:tr>
    </w:tbl>
    <w:p w:rsidR="00F244BA" w:rsidRDefault="00F244BA">
      <w:pPr>
        <w:jc w:val="left"/>
      </w:pPr>
    </w:p>
    <w:p w:rsidR="00F244BA" w:rsidRDefault="00AC19E4">
      <w:pPr>
        <w:pStyle w:val="Naslov3"/>
      </w:pPr>
      <w:r>
        <w:rPr>
          <w:rFonts w:cs="Times New Roman"/>
        </w:rPr>
        <w:t>3109 SIGURNOST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lastRenderedPageBreak/>
              <w:t>3109-SIGURNOST PLOVIDBE</w:t>
            </w:r>
          </w:p>
        </w:tc>
        <w:tc>
          <w:tcPr>
            <w:tcW w:w="2041" w:type="dxa"/>
          </w:tcPr>
          <w:p w:rsidR="00F244BA" w:rsidRDefault="00AC19E4">
            <w:pPr>
              <w:pStyle w:val="CellColumn"/>
              <w:jc w:val="right"/>
            </w:pPr>
            <w:r>
              <w:rPr>
                <w:rFonts w:cs="Times New Roman"/>
              </w:rPr>
              <w:t>26.404.823</w:t>
            </w:r>
          </w:p>
        </w:tc>
        <w:tc>
          <w:tcPr>
            <w:tcW w:w="2041" w:type="dxa"/>
          </w:tcPr>
          <w:p w:rsidR="00F244BA" w:rsidRDefault="00AC19E4">
            <w:pPr>
              <w:pStyle w:val="CellColumn"/>
              <w:jc w:val="right"/>
            </w:pPr>
            <w:r>
              <w:rPr>
                <w:rFonts w:cs="Times New Roman"/>
              </w:rPr>
              <w:t>39.169.689</w:t>
            </w:r>
          </w:p>
        </w:tc>
        <w:tc>
          <w:tcPr>
            <w:tcW w:w="2041" w:type="dxa"/>
          </w:tcPr>
          <w:p w:rsidR="00F244BA" w:rsidRDefault="00AC19E4">
            <w:pPr>
              <w:pStyle w:val="CellColumn"/>
              <w:jc w:val="right"/>
            </w:pPr>
            <w:r>
              <w:rPr>
                <w:rFonts w:cs="Times New Roman"/>
              </w:rPr>
              <w:t>30.593.584</w:t>
            </w:r>
          </w:p>
        </w:tc>
        <w:tc>
          <w:tcPr>
            <w:tcW w:w="1224" w:type="dxa"/>
          </w:tcPr>
          <w:p w:rsidR="00F244BA" w:rsidRDefault="00AC19E4">
            <w:pPr>
              <w:pStyle w:val="CellColumn"/>
              <w:jc w:val="right"/>
            </w:pPr>
            <w:r>
              <w:rPr>
                <w:rFonts w:cs="Times New Roman"/>
              </w:rPr>
              <w:t>78,1</w:t>
            </w:r>
          </w:p>
        </w:tc>
        <w:tc>
          <w:tcPr>
            <w:tcW w:w="1224" w:type="dxa"/>
          </w:tcPr>
          <w:p w:rsidR="00F244BA" w:rsidRDefault="00AC19E4">
            <w:pPr>
              <w:pStyle w:val="CellColumn"/>
              <w:jc w:val="right"/>
            </w:pPr>
            <w:r>
              <w:rPr>
                <w:rFonts w:cs="Times New Roman"/>
              </w:rPr>
              <w:t>115,9</w:t>
            </w:r>
          </w:p>
        </w:tc>
      </w:tr>
    </w:tbl>
    <w:p w:rsidR="00F244BA" w:rsidRDefault="00F244BA">
      <w:pPr>
        <w:jc w:val="left"/>
      </w:pPr>
    </w:p>
    <w:p w:rsidR="00F244BA" w:rsidRDefault="00AC19E4">
      <w:pPr>
        <w:pStyle w:val="Naslov8"/>
        <w:jc w:val="left"/>
      </w:pPr>
      <w:r>
        <w:t>Cilj 1. Sigurna plovidba morem i unutarnjim vodama</w:t>
      </w:r>
    </w:p>
    <w:p w:rsidR="00F244BA" w:rsidRDefault="00AC19E4">
      <w:pPr>
        <w:pStyle w:val="Naslov8"/>
        <w:jc w:val="left"/>
      </w:pPr>
      <w:r>
        <w:t>Opis provedbe cilja programa</w:t>
      </w:r>
    </w:p>
    <w:p w:rsidR="00F244BA" w:rsidRDefault="00AC19E4">
      <w:r>
        <w:t>Cilj programa odnosi se na kontinuirano pružanje usluga sigurnosti plovidbe kao što su traganje i spašavanje osoba u pogibelji na moru i unutarnjim vodama, nadzor i upravljanje pomorskim prometom i prometom na unutarnjim vodama, poslovi predviđanja, sprječavanja, ograničavanja, spremnosti za i reagiranje na iznenadna onečišćenja mora, obavljanje inspekcijskog nadzora sigurnosti plovidbe i pomorskog dobra, obavljanje tehničkog nadzora nad pomorskim objektima i plovnim objektima unutarnje plovidbe, provjera osposobljenosti pomoraca, brodaraca i nautičara, izdavanje svjedodžbi i uvjerenja o osposobljenosti, vođenje upisnika i očevidnika pomorskih objekata i plovila unutarnje plovidbe, koje su u izravnoj nadležnosti Republike Hrvatske, odnosno Ministarstva mora, prometa i infrastrukture sukladno međunarodnim i nacionalnim propisima.</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Smanjen broj plovidbenih nezgoda</w:t>
            </w:r>
          </w:p>
        </w:tc>
        <w:tc>
          <w:tcPr>
            <w:tcW w:w="2551" w:type="dxa"/>
          </w:tcPr>
          <w:p w:rsidR="00F244BA" w:rsidRDefault="00AC19E4">
            <w:pPr>
              <w:pStyle w:val="CellColumn"/>
              <w:jc w:val="left"/>
            </w:pPr>
            <w:r>
              <w:rPr>
                <w:rFonts w:cs="Times New Roman"/>
              </w:rPr>
              <w:t>Smanjenje broja evidentiranih pomorskih nezgoda u promatranom razdoblju ukazuje na povećanje razine sigurnosti plovidbe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980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&lt;960</w:t>
            </w:r>
          </w:p>
        </w:tc>
        <w:tc>
          <w:tcPr>
            <w:tcW w:w="1020" w:type="dxa"/>
          </w:tcPr>
          <w:p w:rsidR="00F244BA" w:rsidRDefault="00AC19E4">
            <w:pPr>
              <w:pStyle w:val="CellColumn"/>
              <w:jc w:val="right"/>
            </w:pPr>
            <w:r>
              <w:rPr>
                <w:rFonts w:cs="Times New Roman"/>
              </w:rPr>
              <w:t>879</w:t>
            </w:r>
          </w:p>
        </w:tc>
      </w:tr>
    </w:tbl>
    <w:p w:rsidR="00F244BA" w:rsidRDefault="00F244BA">
      <w:pPr>
        <w:jc w:val="left"/>
      </w:pPr>
    </w:p>
    <w:p w:rsidR="00F244BA" w:rsidRDefault="00AC19E4">
      <w:pPr>
        <w:pStyle w:val="Naslov4"/>
      </w:pPr>
      <w:r>
        <w:t>A570017 SIGURNOST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A570017-SIGURNOST PLOVIDBE</w:t>
            </w:r>
          </w:p>
        </w:tc>
        <w:tc>
          <w:tcPr>
            <w:tcW w:w="2041" w:type="dxa"/>
          </w:tcPr>
          <w:p w:rsidR="00F244BA" w:rsidRDefault="00AC19E4">
            <w:pPr>
              <w:pStyle w:val="CellColumn"/>
              <w:jc w:val="right"/>
            </w:pPr>
            <w:r>
              <w:rPr>
                <w:rFonts w:cs="Times New Roman"/>
              </w:rPr>
              <w:t>17.091.281</w:t>
            </w:r>
          </w:p>
        </w:tc>
        <w:tc>
          <w:tcPr>
            <w:tcW w:w="2041" w:type="dxa"/>
          </w:tcPr>
          <w:p w:rsidR="00F244BA" w:rsidRDefault="00AC19E4">
            <w:pPr>
              <w:pStyle w:val="CellColumn"/>
              <w:jc w:val="right"/>
            </w:pPr>
            <w:r>
              <w:rPr>
                <w:rFonts w:cs="Times New Roman"/>
              </w:rPr>
              <w:t>28.360.513</w:t>
            </w:r>
          </w:p>
        </w:tc>
        <w:tc>
          <w:tcPr>
            <w:tcW w:w="2041" w:type="dxa"/>
          </w:tcPr>
          <w:p w:rsidR="00F244BA" w:rsidRDefault="00AC19E4">
            <w:pPr>
              <w:pStyle w:val="CellColumn"/>
              <w:jc w:val="right"/>
            </w:pPr>
            <w:r>
              <w:rPr>
                <w:rFonts w:cs="Times New Roman"/>
              </w:rPr>
              <w:t>21.615.971</w:t>
            </w:r>
          </w:p>
        </w:tc>
        <w:tc>
          <w:tcPr>
            <w:tcW w:w="1224" w:type="dxa"/>
          </w:tcPr>
          <w:p w:rsidR="00F244BA" w:rsidRDefault="00AC19E4">
            <w:pPr>
              <w:pStyle w:val="CellColumn"/>
              <w:jc w:val="right"/>
            </w:pPr>
            <w:r>
              <w:rPr>
                <w:rFonts w:cs="Times New Roman"/>
              </w:rPr>
              <w:t>76,2</w:t>
            </w:r>
          </w:p>
        </w:tc>
        <w:tc>
          <w:tcPr>
            <w:tcW w:w="1224" w:type="dxa"/>
          </w:tcPr>
          <w:p w:rsidR="00F244BA" w:rsidRDefault="00AC19E4">
            <w:pPr>
              <w:pStyle w:val="CellColumn"/>
              <w:jc w:val="right"/>
            </w:pPr>
            <w:r>
              <w:rPr>
                <w:rFonts w:cs="Times New Roman"/>
              </w:rPr>
              <w:t>126,5</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dio III., IV., V., VIII. i XI.  </w:t>
      </w:r>
    </w:p>
    <w:p w:rsidR="00F244BA" w:rsidRDefault="00AC19E4">
      <w:r>
        <w:t xml:space="preserve">- Zakon o plovidbi i lukama unutarnjih voda  </w:t>
      </w:r>
    </w:p>
    <w:p w:rsidR="00F244BA" w:rsidRDefault="00AC19E4">
      <w:r>
        <w:t xml:space="preserve">- Zakon o lučkim kapetanijama  </w:t>
      </w:r>
    </w:p>
    <w:p w:rsidR="00F244BA" w:rsidRDefault="00AC19E4">
      <w:r>
        <w:t xml:space="preserve">- Zakon o pomorskom dobru i morskim lukama dio IV., V. i VI.  </w:t>
      </w:r>
    </w:p>
    <w:p w:rsidR="00F244BA" w:rsidRDefault="00AC19E4">
      <w:r>
        <w:t xml:space="preserve">- Zakon o sigurnosnoj zaštiti pomorskih brodova i luka  </w:t>
      </w:r>
    </w:p>
    <w:p w:rsidR="00F244BA" w:rsidRDefault="00AC19E4">
      <w:r>
        <w:t xml:space="preserve">- Uredba o Nacionalnom planu traganja i spašavanja osoba u pogibelji na moru  </w:t>
      </w:r>
    </w:p>
    <w:p w:rsidR="00F244BA" w:rsidRDefault="00AC19E4">
      <w:r>
        <w:t xml:space="preserve">- Plan intervencija kod iznenadnih onečišćenja mora  </w:t>
      </w:r>
    </w:p>
    <w:p w:rsidR="00F244BA" w:rsidRDefault="00AC19E4">
      <w:r>
        <w:t xml:space="preserve">- Pravilnik o službenoj odori državnih službenika lučkih kapetanija  </w:t>
      </w:r>
    </w:p>
    <w:p w:rsidR="00F244BA" w:rsidRDefault="00AC19E4">
      <w:r>
        <w:t>- Zakon o Plovputu</w:t>
      </w:r>
    </w:p>
    <w:p w:rsidR="00F244BA" w:rsidRDefault="00AC19E4">
      <w:pPr>
        <w:pStyle w:val="Naslov8"/>
        <w:jc w:val="left"/>
      </w:pPr>
      <w:r>
        <w:t>Opis aktivnosti</w:t>
      </w:r>
    </w:p>
    <w:p w:rsidR="00F244BA" w:rsidRDefault="00AC19E4">
      <w:r>
        <w:t xml:space="preserve">Ovom aktivnosti osiguravaju se sredstva Državnog proračuna nužna za pružanje usluga sigurnosti plovidbe kao što su traganje i spašavanje osoba u pogibelji na moru i unutarnjim vodama, nadzor i upravljanje pomorskim prometom </w:t>
      </w:r>
      <w:r>
        <w:lastRenderedPageBreak/>
        <w:t xml:space="preserve">i prometom na unutarnjim vodama, poslovi predviđanja, sprječavanja, ograničavanja, spremnosti za i reagiranje na iznenadna onečišćenja mora, obavljanje inspekcijskog nadzora sigurnosti plovidbe i pomorskog dobra, obavljanje tehničkog nadzora nad pomorskim objektima i plovnim objektima unutarnje plovidbe, provjera osposobljenosti pomoraca, brodaraca i nautičara, izdavanje svjedodžbi i uvjerenja o osposobljenosti, vođenje upisnika i očevidnika pomorskih objekata i plovila unutarnje plovidbe, koje su u izravnoj nadležnosti Republike Hrvatske, odnosno Ministarstva mora, prometa i infrastrukture sukladno međunarodnim i nacionalnim propisima.  </w:t>
      </w:r>
    </w:p>
    <w:p w:rsidR="00F244BA" w:rsidRDefault="00AC19E4">
      <w:r>
        <w:t xml:space="preserve"> </w:t>
      </w:r>
    </w:p>
    <w:p w:rsidR="00F244BA" w:rsidRDefault="00AC19E4">
      <w:r>
        <w:t xml:space="preserve">Na aktivnosti su osigurana sredstva za pokriće troškova za zaposlene djelatnike Uprave sigurnosti plovidbe i lučkih kapetanija, sredstva za redovan rad i održavanje flote lučkih kapetanija, sredstva za održavanje sustava za nadzor pomorskog prometa i prometa unutarnjim vodama (VTS i RIS sustavi), održavanja i nadogradnji Informacijskog sustava sigurnosti plovidbe te nabavku automobila i ostale opreme i uređaja koji su potrebi za redovito obavljanje poslova iz nadležnosti Uprave sigurnosti plovidbe.  </w:t>
      </w:r>
    </w:p>
    <w:p w:rsidR="00F244BA" w:rsidRDefault="00AC19E4">
      <w:r>
        <w:t xml:space="preserve"> </w:t>
      </w:r>
    </w:p>
    <w:p w:rsidR="00F244BA" w:rsidRDefault="00AC19E4">
      <w:r>
        <w:t xml:space="preserve">Troškovi za zaposlene djelatnike, odnosno troškovi plaća i doprinosa, službenih putovanja, naknade za prijevoz, za rad na terenu i odvojeni život, stručnog usavršavanja, odora, zaštitne radne odjeće i obuće i ostalih rashoda za zaposlene u 2024. godini iznosili su 13.471.582 €. </w:t>
      </w:r>
    </w:p>
    <w:p w:rsidR="00F244BA" w:rsidRDefault="00AC19E4">
      <w:r>
        <w:t xml:space="preserve">                                 </w:t>
      </w:r>
    </w:p>
    <w:p w:rsidR="00F244BA" w:rsidRDefault="00AC19E4">
      <w:r>
        <w:t xml:space="preserve">Za potrebe tekućeg i investicijskog održavanja sustava za nadzor pomorskog prometa (VTMIS) i prometa unutarnjim vodama (RIS), kojeg čine 11 radarskih postaja, 6 CCTV kamera, 41 AIS baznih postaja i 63 VHF bazne postaje s pridruženim informacijskim sustavima, osigurano je na ovoj aktivnosti u iznosu od 259.893,55 €, a za telekomunikacijsko povezivanje svih lokacija na kojima su smješteni VTMIS i RIS oprema i uređaji, prostora lučkih kapetanija i ispostava lučkih kapetanija osiguran je iznos od 423.250 €.  </w:t>
      </w:r>
    </w:p>
    <w:p w:rsidR="00F244BA" w:rsidRDefault="00AC19E4">
      <w:r>
        <w:t xml:space="preserve"> </w:t>
      </w:r>
    </w:p>
    <w:p w:rsidR="00F244BA" w:rsidRDefault="00AC19E4">
      <w:r>
        <w:t xml:space="preserve">Za nabavku nove informatičke opreme za potrebe VTMIS sustava potrošeno je 361.875 €, a na licence 185.555,35 €.  </w:t>
      </w:r>
    </w:p>
    <w:p w:rsidR="00F244BA" w:rsidRDefault="00AC19E4">
      <w:r>
        <w:t xml:space="preserve"> </w:t>
      </w:r>
    </w:p>
    <w:p w:rsidR="00F244BA" w:rsidRDefault="00AC19E4">
      <w:r>
        <w:t xml:space="preserve">S ove aktivnosti provedeno je tekuće održavanje, nabavka namještaja, opreme i uređaja, te su podmireni troškovi zakupnine i najamnine, kao i troškovi električne energije i ostali režijski troškovi.  </w:t>
      </w:r>
    </w:p>
    <w:p w:rsidR="00F244BA" w:rsidRDefault="00AC19E4">
      <w:r>
        <w:t xml:space="preserve"> </w:t>
      </w:r>
    </w:p>
    <w:p w:rsidR="00F244BA" w:rsidRDefault="00AC19E4">
      <w:r>
        <w:t xml:space="preserve">Troškovi za redovan rad i održavanje flote koju čine 5 brodova, 34 brodica i 12 čamaca lučkih kapetanija obuhvaćaju troškove tekućeg i investicijskog održavanja, uključujući i potrošni materijal, dodatnih ulaganja u opremu i uređaje, troškove goriva i ostale manje troškove u 2024. godini, od čega je za potrebe upravljanja (troškovi održavanja i posade) školskim brodom Kraljica mora u 2024. godini utrošen iznos od 324.400,91 €.  </w:t>
      </w:r>
    </w:p>
    <w:p w:rsidR="00F244BA" w:rsidRDefault="00AC19E4">
      <w:r>
        <w:t xml:space="preserve">U 2024. godini na aktivnosti su osigurana i sredstva za plaćanje članarina i normi u nacionalnim i međunarodnim asocijacijama, organizacijama, te institucijama (članstva u IMRF, IALA, PMoU i MedMou), a za koje obveza članstva proizlazi iz sklopljenih međunarodnih ugovora te zakonskih propisa.  </w:t>
      </w:r>
    </w:p>
    <w:p w:rsidR="00F244BA" w:rsidRDefault="00AC19E4">
      <w:r>
        <w:t xml:space="preserve">U 2024. godini plaćene su slijedeće međunarodne godišnje članarine: godišnja članarina za PMoU u iznosu od 42.237,81 €, godišnja članarina za MedMou u iznosu od 23.150 $, godišnja članarina za  International Maritime Rescue Federation (IMRF) u iznosu od 4.334,33 €, godišnja članarina International Organisation for Marine Aids to Navigation (IALA) u iznosu od 19.110 €. </w:t>
      </w:r>
    </w:p>
    <w:p w:rsidR="00F244BA" w:rsidRDefault="00AC19E4">
      <w:r>
        <w:t xml:space="preserve">Povećani broj zaustavljanja brodova u nacionalnoj plovidbi rezultat je nepoštivanja propisa od strane vlasnika brodova.  </w:t>
      </w:r>
    </w:p>
    <w:p w:rsidR="00F244BA" w:rsidRDefault="00AC19E4">
      <w:r>
        <w:t>Smanjeni broj inspekcijskih pregleda rezultat je odlazaka u mirovinu i napuštanja službe od strane određenog broja djelatnika i nedovoljnog zapošljavanja novih djelatnika. Isto tako, treba naglasiti da novo zaposleni djelatnici moraju proći program obuke i edukacije koji zahtjeva određeno vrijeme da bi stekli ovlaštenje za obavljanje inspekcijskih pregleda.</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Porast učestalosti inspekcijskih pregleda</w:t>
            </w:r>
          </w:p>
        </w:tc>
        <w:tc>
          <w:tcPr>
            <w:tcW w:w="2551" w:type="dxa"/>
          </w:tcPr>
          <w:p w:rsidR="00F244BA" w:rsidRDefault="00AC19E4">
            <w:pPr>
              <w:pStyle w:val="CellColumn"/>
              <w:jc w:val="left"/>
            </w:pPr>
            <w:r>
              <w:rPr>
                <w:rFonts w:cs="Times New Roman"/>
              </w:rPr>
              <w:t>Veći broj inspekcijskih pregleda ukazuje na porast nadzora sigurnosti plovidbe od strane inspektora sigurnosti plovidbe i ovlaštenih djelatnika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7.461</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&gt;7.500</w:t>
            </w:r>
          </w:p>
        </w:tc>
        <w:tc>
          <w:tcPr>
            <w:tcW w:w="1020" w:type="dxa"/>
          </w:tcPr>
          <w:p w:rsidR="00F244BA" w:rsidRDefault="00AC19E4">
            <w:pPr>
              <w:pStyle w:val="CellColumn"/>
              <w:jc w:val="right"/>
            </w:pPr>
            <w:r>
              <w:rPr>
                <w:rFonts w:cs="Times New Roman"/>
              </w:rPr>
              <w:t>5795</w:t>
            </w:r>
          </w:p>
        </w:tc>
      </w:tr>
      <w:tr w:rsidR="00F244BA">
        <w:trPr>
          <w:jc w:val="center"/>
        </w:trPr>
        <w:tc>
          <w:tcPr>
            <w:tcW w:w="2551" w:type="dxa"/>
          </w:tcPr>
          <w:p w:rsidR="00F244BA" w:rsidRDefault="00AC19E4">
            <w:pPr>
              <w:pStyle w:val="CellColumn"/>
              <w:jc w:val="left"/>
            </w:pPr>
            <w:r>
              <w:rPr>
                <w:rFonts w:cs="Times New Roman"/>
              </w:rPr>
              <w:t>Smanjenje broja zaustavljanja brodova hrvatske zastave u nacionalnoj plovidbi</w:t>
            </w:r>
          </w:p>
        </w:tc>
        <w:tc>
          <w:tcPr>
            <w:tcW w:w="2551" w:type="dxa"/>
          </w:tcPr>
          <w:p w:rsidR="00F244BA" w:rsidRDefault="00AC19E4">
            <w:pPr>
              <w:pStyle w:val="CellColumn"/>
              <w:jc w:val="left"/>
            </w:pPr>
            <w:r>
              <w:rPr>
                <w:rFonts w:cs="Times New Roman"/>
              </w:rPr>
              <w:t>Manji broj zaustavljanja pokazatelj je porasta razine poštivanja zakonskih i tehničkih odredbi od strane brodara i vlasnika brodova u nacionalnoj plovidbi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17</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&lt;15</w:t>
            </w:r>
          </w:p>
        </w:tc>
        <w:tc>
          <w:tcPr>
            <w:tcW w:w="1020" w:type="dxa"/>
          </w:tcPr>
          <w:p w:rsidR="00F244BA" w:rsidRDefault="00AC19E4">
            <w:pPr>
              <w:pStyle w:val="CellColumn"/>
              <w:jc w:val="right"/>
            </w:pPr>
            <w:r>
              <w:rPr>
                <w:rFonts w:cs="Times New Roman"/>
              </w:rPr>
              <w:t>16</w:t>
            </w:r>
          </w:p>
        </w:tc>
      </w:tr>
      <w:tr w:rsidR="00F244BA">
        <w:trPr>
          <w:jc w:val="center"/>
        </w:trPr>
        <w:tc>
          <w:tcPr>
            <w:tcW w:w="2551" w:type="dxa"/>
          </w:tcPr>
          <w:p w:rsidR="00F244BA" w:rsidRDefault="00AC19E4">
            <w:pPr>
              <w:pStyle w:val="CellColumn"/>
              <w:jc w:val="left"/>
            </w:pPr>
            <w:r>
              <w:rPr>
                <w:rFonts w:cs="Times New Roman"/>
              </w:rPr>
              <w:t>Smanjenje onečišćenja mora s pomorskih objekata</w:t>
            </w:r>
          </w:p>
        </w:tc>
        <w:tc>
          <w:tcPr>
            <w:tcW w:w="2551" w:type="dxa"/>
          </w:tcPr>
          <w:p w:rsidR="00F244BA" w:rsidRDefault="00AC19E4">
            <w:pPr>
              <w:pStyle w:val="CellColumn"/>
              <w:jc w:val="left"/>
            </w:pPr>
            <w:r>
              <w:rPr>
                <w:rFonts w:cs="Times New Roman"/>
              </w:rPr>
              <w:t>Manji broj onečišćenja mora s pomorskih objekata ukazuje na bolju zaštitu morskog okoliša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23</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&lt;21</w:t>
            </w:r>
          </w:p>
        </w:tc>
        <w:tc>
          <w:tcPr>
            <w:tcW w:w="1020" w:type="dxa"/>
          </w:tcPr>
          <w:p w:rsidR="00F244BA" w:rsidRDefault="00AC19E4">
            <w:pPr>
              <w:pStyle w:val="CellColumn"/>
              <w:jc w:val="right"/>
            </w:pPr>
            <w:r>
              <w:rPr>
                <w:rFonts w:cs="Times New Roman"/>
              </w:rPr>
              <w:t>9</w:t>
            </w:r>
          </w:p>
        </w:tc>
      </w:tr>
    </w:tbl>
    <w:p w:rsidR="00F244BA" w:rsidRDefault="00F244BA">
      <w:pPr>
        <w:jc w:val="left"/>
      </w:pPr>
    </w:p>
    <w:p w:rsidR="00F244BA" w:rsidRDefault="00AC19E4">
      <w:pPr>
        <w:pStyle w:val="Naslov4"/>
      </w:pPr>
      <w:r>
        <w:t>A754057 ODRŽAVANJE ŠKOLSKIH BRODOVA SREDNJOŠKOLSKIH POMORSKIH UČILIŠTA I OPREMANJE OBVEZNOM OPREMOM U SKLADU S ODREDBAMA STCW KONVENCIJE</w:t>
      </w:r>
    </w:p>
    <w:tbl>
      <w:tblPr>
        <w:tblStyle w:val="StilTablice"/>
        <w:tblW w:w="10206" w:type="dxa"/>
        <w:jc w:val="center"/>
        <w:tblLook w:val="04A0" w:firstRow="1" w:lastRow="0" w:firstColumn="1" w:lastColumn="0" w:noHBand="0" w:noVBand="1"/>
      </w:tblPr>
      <w:tblGrid>
        <w:gridCol w:w="1981"/>
        <w:gridCol w:w="1939"/>
        <w:gridCol w:w="1933"/>
        <w:gridCol w:w="1940"/>
        <w:gridCol w:w="1202"/>
        <w:gridCol w:w="1211"/>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A754057-ODRŽAVANJE ŠKOLSKIH BRODOVA SREDNJOŠKOLSKIH POMORSKIH UČILIŠTA I OPREMANJE OBVEZNOM OPREMOM U SKLADU S ODREDBAMA STCW KONVENCIJE</w:t>
            </w:r>
          </w:p>
        </w:tc>
        <w:tc>
          <w:tcPr>
            <w:tcW w:w="2041" w:type="dxa"/>
          </w:tcPr>
          <w:p w:rsidR="00F244BA" w:rsidRDefault="00AC19E4">
            <w:pPr>
              <w:pStyle w:val="CellColumn"/>
              <w:jc w:val="right"/>
            </w:pPr>
            <w:r>
              <w:rPr>
                <w:rFonts w:cs="Times New Roman"/>
              </w:rPr>
              <w:t>358.245</w:t>
            </w:r>
          </w:p>
        </w:tc>
        <w:tc>
          <w:tcPr>
            <w:tcW w:w="2041" w:type="dxa"/>
          </w:tcPr>
          <w:p w:rsidR="00F244BA" w:rsidRDefault="00AC19E4">
            <w:pPr>
              <w:pStyle w:val="CellColumn"/>
              <w:jc w:val="right"/>
            </w:pPr>
            <w:r>
              <w:rPr>
                <w:rFonts w:cs="Times New Roman"/>
              </w:rPr>
              <w:t>915.000</w:t>
            </w:r>
          </w:p>
        </w:tc>
        <w:tc>
          <w:tcPr>
            <w:tcW w:w="2041" w:type="dxa"/>
          </w:tcPr>
          <w:p w:rsidR="00F244BA" w:rsidRDefault="00AC19E4">
            <w:pPr>
              <w:pStyle w:val="CellColumn"/>
              <w:jc w:val="right"/>
            </w:pPr>
            <w:r>
              <w:rPr>
                <w:rFonts w:cs="Times New Roman"/>
              </w:rPr>
              <w:t>569.240</w:t>
            </w:r>
          </w:p>
        </w:tc>
        <w:tc>
          <w:tcPr>
            <w:tcW w:w="1224" w:type="dxa"/>
          </w:tcPr>
          <w:p w:rsidR="00F244BA" w:rsidRDefault="00AC19E4">
            <w:pPr>
              <w:pStyle w:val="CellColumn"/>
              <w:jc w:val="right"/>
            </w:pPr>
            <w:r>
              <w:rPr>
                <w:rFonts w:cs="Times New Roman"/>
              </w:rPr>
              <w:t>62,2</w:t>
            </w:r>
          </w:p>
        </w:tc>
        <w:tc>
          <w:tcPr>
            <w:tcW w:w="1224" w:type="dxa"/>
          </w:tcPr>
          <w:p w:rsidR="00F244BA" w:rsidRDefault="00AC19E4">
            <w:pPr>
              <w:pStyle w:val="CellColumn"/>
              <w:jc w:val="right"/>
            </w:pPr>
            <w:r>
              <w:rPr>
                <w:rFonts w:cs="Times New Roman"/>
              </w:rPr>
              <w:t>158,9</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132.  </w:t>
      </w:r>
    </w:p>
    <w:p w:rsidR="00F244BA" w:rsidRDefault="00AC19E4">
      <w:r>
        <w:t xml:space="preserve">- Zakon o plovidbi i lukama unutarnjih voda, članak 75.  </w:t>
      </w:r>
    </w:p>
    <w:p w:rsidR="00F244BA" w:rsidRDefault="00AC19E4">
      <w:r>
        <w:t xml:space="preserve">- Pravilnik o zvanjima i svjedodžbama o osposobljenosti pomoraca, članak 79. i Prilog G2  </w:t>
      </w:r>
    </w:p>
    <w:p w:rsidR="00F244BA" w:rsidRDefault="00AC19E4">
      <w:r>
        <w:t>- Pravilnik o posadi plovila i plutajućih objekata unutarnje plovidbe, članak 45. i Prilog IV.</w:t>
      </w:r>
    </w:p>
    <w:p w:rsidR="00F244BA" w:rsidRDefault="00AC19E4">
      <w:pPr>
        <w:pStyle w:val="Naslov8"/>
        <w:jc w:val="left"/>
      </w:pPr>
      <w:r>
        <w:t>Opis aktivnosti</w:t>
      </w:r>
    </w:p>
    <w:p w:rsidR="00F244BA" w:rsidRDefault="00AC19E4">
      <w:r>
        <w:t xml:space="preserve">Međunarodnom konvencijom o standardima izobrazbe, izdavanju svjedodžbi i držanju straže pomoraca (STCW 1978), propisani su specifični uvjeti u pogledu tehničke i materijalne opremljenosti kojima moraju udovoljiti učilišta </w:t>
      </w:r>
      <w:r>
        <w:lastRenderedPageBreak/>
        <w:t xml:space="preserve">ovlaštena za provedbu programa obrazovanja i/ili izobrazbe pomoraca. Sredstva na ovoj aktivnosti koriste se za opremanje srednjoškolskih pomorskih učilišta u vlasništvu područne (regionalne) samouprave obveznom opremom u skladu sa odredbama STCW Konvencije 1978, kako je izmijenjena i dopunjena, te nacionalnih propisa kojim su implementirani sadržaji iste.  </w:t>
      </w:r>
    </w:p>
    <w:p w:rsidR="00F244BA" w:rsidRDefault="00AC19E4">
      <w:r>
        <w:t xml:space="preserve">Pravnom stečevinom EU (odredbama Direktive (EU) 2017/2397 Europskog parlamenta i Vijeća od 12. prosinca 2017. o priznavanju stručnih kvalifikacija u unutarnjoj plovidbi i stavljanju izvan snage direktiva Vijeća 91/672/EEZ i 96/50/EZ (Tekst značajan za EGP) (SL L 345, 27. 12. 2017.), Delegirane direktive Komisije (EU) 2020/12 od 2. kolovoza 2019. o dopuni Direktive (EU) 2017/2397 Europskog parlamenta i Vijeća s obzirom na standarde za kompetencije i odgovarajuća znanja i vještine, za praktične ispite, za odobravanje simulatora i za zdravstvenu sposobnost (Tekst značajan za EGP) (SL L 6, 10. 1.2020.), Direktive (EU) 2021/1233 Europskog parlamenta i Vijeća od 14. srpnja 2021. o izmjeni Direktive (EU) 2017/2397 u pogledu prijelaznih mjera za priznavanje svjedodžbi trećih zemalja (Tekst značajan za EGP) (SL L 274, 30. 7. 2021.)) propisani su specifični uvjeti u pogledu tehničke i materijale opremljenosti kojima moraju udovoljiti brodarska učilišta ovlaštena za provedbu programa obrazovanja brodaraca. Sredstva na ovoj aktivnosti koriste se za opremanje srednjoškolskih brodarskih učilišta u vlasništvu područne (regionalne) samouprave obveznom opremom u skladu sa odredbama navedenih EU standarda, te nacionalnih propisa kojim su implementirani sadržaji istih.  </w:t>
      </w:r>
    </w:p>
    <w:p w:rsidR="00F244BA" w:rsidRDefault="00AC19E4">
      <w:r>
        <w:t xml:space="preserve">Aktivnost se provodi svake proračunske godine počevši od 2018., a procjena potrebnih sredstava napravljena je temeljem prikupljenih podataka o potrebama za nabavkom i nadogradnjom opreme srednjoškolskih pomorskih i brodarskih učilišta, prosječnih tržišnih vrijednosti nabave i stavljanja u funkciju opreme, a sve sa ciljem da se godišnje svaka srednja pomorska i brodarska škola opremi barem jednim odgovarajućim simulatorom i/ili nekim drugim potrebnim uređajem. </w:t>
      </w:r>
    </w:p>
    <w:p w:rsidR="00F244BA" w:rsidRDefault="00AC19E4">
      <w:r>
        <w:t xml:space="preserve">U 2024. godini provedbom javnog poziva, odobreno je ukupno 34 projekta ukupne vrijednosti 587.662,92 €, za koje je isplaćeno ukupno 569.239,51 €. </w:t>
      </w:r>
    </w:p>
    <w:p w:rsidR="00F244BA" w:rsidRDefault="00AC19E4">
      <w:r>
        <w:t>Razlog odstupanja od inicijalnog plana dogodio se uslijed činjenice da nijedna brodarska škola nije započela sa provedbom programa Nautičar unutarnje plovidbe u 2024. godine kako je prethodno bilo planirano, jer je Odluka o uvođenju strukovnog kurikula za stjecanje kvalifikacije Nautičar unutarnje plovidbe / Nautičarka unutarnje plovidbe (160907) u sektoru Promet i logistika, donesena tek dana 28. siječnja 2025. godine, a u koju su ugrađeni svi tehnički uvjeti za provedbu predmetnog programa obrazovanja temeljem odredbi prethodno navedenih Direktiva, u skladu sa kojima je nužno osigurati visoki stupanj opremljenosti učilišta koji provodi program obrazovanja Nautičar unutarnje plovidbe, a koji je preduvjet za stjecanja zvanja i osposobljenosti u unutarnjoj plovidbi.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Opremljenost srednjoškolskih pomorskih učilišta sukladno zadnjim zahtjevima izmijenjene i dopunjene STCW Konvencije</w:t>
            </w:r>
          </w:p>
        </w:tc>
        <w:tc>
          <w:tcPr>
            <w:tcW w:w="2551" w:type="dxa"/>
          </w:tcPr>
          <w:p w:rsidR="00F244BA" w:rsidRDefault="00AC19E4">
            <w:pPr>
              <w:pStyle w:val="CellColumn"/>
              <w:jc w:val="left"/>
            </w:pPr>
            <w:r>
              <w:rPr>
                <w:rFonts w:cs="Times New Roman"/>
              </w:rPr>
              <w:t xml:space="preserve">Za potrebe obavljanja obrazovanja učenika, srednjoškolska pomorska učilišta u vlasništvu područne (regionalne) samouprave opremit će se obveznom opremom (npr. simulatorima) u skladu sa odredbama STCW Konvencije </w:t>
            </w:r>
          </w:p>
          <w:p w:rsidR="00F244BA" w:rsidRDefault="00AC19E4">
            <w:pPr>
              <w:pStyle w:val="CellColumn"/>
              <w:jc w:val="left"/>
            </w:pPr>
            <w:r>
              <w:rPr>
                <w:rFonts w:cs="Times New Roman"/>
              </w:rPr>
              <w:t>Za potrebe obavljanja obrazovanja učenika u dijelu unutarnje plovidbe, brodarske škole u vlasništvu područne (regionalne) samouprave opremit će se obveznom opremom (npr. simulatorima) u skladu sa standardima koji proizlaze iz pravne stečevine EU</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40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50</w:t>
            </w:r>
          </w:p>
        </w:tc>
        <w:tc>
          <w:tcPr>
            <w:tcW w:w="1020" w:type="dxa"/>
          </w:tcPr>
          <w:p w:rsidR="00F244BA" w:rsidRDefault="00AC19E4">
            <w:pPr>
              <w:pStyle w:val="CellColumn"/>
              <w:jc w:val="right"/>
            </w:pPr>
            <w:r>
              <w:rPr>
                <w:rFonts w:cs="Times New Roman"/>
              </w:rPr>
              <w:t>55</w:t>
            </w:r>
          </w:p>
        </w:tc>
      </w:tr>
    </w:tbl>
    <w:p w:rsidR="00F244BA" w:rsidRDefault="00F244BA">
      <w:pPr>
        <w:jc w:val="left"/>
      </w:pPr>
    </w:p>
    <w:p w:rsidR="00F244BA" w:rsidRDefault="00AC19E4">
      <w:pPr>
        <w:pStyle w:val="Naslov4"/>
      </w:pPr>
      <w:r>
        <w:lastRenderedPageBreak/>
        <w:t>A754063 ODRŽAVANJE MREŽE PLOVILA-ČISTAČA ZA DJELOVANJE KOD IZNENADNIH ONEČIŠĆENJA MORA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A754063-ODRŽAVANJE MREŽE PLOVILA-ČISTAČA ZA DJELOVANJE KOD IZNENADNIH ONEČIŠĆENJA MORA</w:t>
            </w:r>
          </w:p>
        </w:tc>
        <w:tc>
          <w:tcPr>
            <w:tcW w:w="2041" w:type="dxa"/>
          </w:tcPr>
          <w:p w:rsidR="00F244BA" w:rsidRDefault="00AC19E4">
            <w:pPr>
              <w:pStyle w:val="CellColumn"/>
              <w:jc w:val="right"/>
            </w:pPr>
            <w:r>
              <w:rPr>
                <w:rFonts w:cs="Times New Roman"/>
              </w:rPr>
              <w:t>305.262</w:t>
            </w:r>
          </w:p>
        </w:tc>
        <w:tc>
          <w:tcPr>
            <w:tcW w:w="2041" w:type="dxa"/>
          </w:tcPr>
          <w:p w:rsidR="00F244BA" w:rsidRDefault="00AC19E4">
            <w:pPr>
              <w:pStyle w:val="CellColumn"/>
              <w:jc w:val="right"/>
            </w:pPr>
            <w:r>
              <w:rPr>
                <w:rFonts w:cs="Times New Roman"/>
              </w:rPr>
              <w:t>305.262</w:t>
            </w:r>
          </w:p>
        </w:tc>
        <w:tc>
          <w:tcPr>
            <w:tcW w:w="2041" w:type="dxa"/>
          </w:tcPr>
          <w:p w:rsidR="00F244BA" w:rsidRDefault="00AC19E4">
            <w:pPr>
              <w:pStyle w:val="CellColumn"/>
              <w:jc w:val="right"/>
            </w:pPr>
            <w:r>
              <w:rPr>
                <w:rFonts w:cs="Times New Roman"/>
              </w:rPr>
              <w:t>305.262</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49.h, članak 55.f i članak 55.h  </w:t>
      </w:r>
    </w:p>
    <w:p w:rsidR="00F244BA" w:rsidRDefault="00AC19E4">
      <w:r>
        <w:t xml:space="preserve">- Plan intervencija kod iznenadnih onečišćenja mora, točke: 31., 35., 40. i 108.  </w:t>
      </w:r>
    </w:p>
    <w:p w:rsidR="00F244BA" w:rsidRDefault="00AC19E4">
      <w:r>
        <w:t>- Odluka Vlade RH o sufinanciranju održavanja mreže plovila čistača mora za djelovanje kod iznenadnih onečišćenja mora</w:t>
      </w:r>
    </w:p>
    <w:p w:rsidR="00F244BA" w:rsidRDefault="00AC19E4">
      <w:pPr>
        <w:pStyle w:val="Naslov8"/>
        <w:jc w:val="left"/>
      </w:pPr>
      <w:r>
        <w:t>Opis aktivnosti</w:t>
      </w:r>
    </w:p>
    <w:p w:rsidR="00F244BA" w:rsidRDefault="00AC19E4">
      <w:r>
        <w:t xml:space="preserve">Sredstva za izvršenje aktivnosti namijenjena su za sufinanciranje održavanja mreže plovila čistača mora raspoređenih duž Jadranske obale kao preduvjeta učinkovite zaštite morskog okoliša i obalnog područja kod iznenadnih onečišćenja mora s pomorskih objekata, odnosno za provedbu mjera za smanjenje šteta u morskom okolišu i obalnom području, zaštitu ljudskog zdravlja, te sprječavanje ometanje pomorske djelatnosti i drugih zakonitih uporaba mora i podmorja u slučajevima iznenadnih onečišćenja mora s pomorskih objekata.  </w:t>
      </w:r>
    </w:p>
    <w:p w:rsidR="00F244BA" w:rsidRDefault="00AC19E4">
      <w:r>
        <w:t xml:space="preserve">Odlukom Vlade Republike Hrvatske KLASA: 022-03/19-04/133; URBROJ: 50301-27/25-13-3 od 18. travnja 2019. godine o sufinanciranju održavanja mreže plovila čistača mora za djelovanje kod iznenadnih onečišćenja mora, Vlada Republike Hrvatske se obvezala sufinancirati troškove održavanja mreže od ukupno 10 plovila čistača mora, raspoređenih duž hrvatske obale u iznosu od 30.526 € po plovilu čistaču mora godišnje, odnosno ukupno 305.262 € godišnje za cijelu mrežu plovila.  </w:t>
      </w:r>
    </w:p>
    <w:p w:rsidR="00F244BA" w:rsidRDefault="00AC19E4">
      <w:r>
        <w:t xml:space="preserve">Mreža plovila čistača mora sastoji se od 5 plovila tipa ECO-13, koje je Ministarstvo zaštite okoliša, prostornog uređenja i graditeljstva temeljem Odluke Vlade Republike Hrvatske KLASA: 342,01/07-01/03; URBROJ: 5030114¬07-1 od 15. lipnja 2007. godine predalo u vlasništvo Dubrovačko-neretvanske, Šibensko-kninske, Zadarske i Ličko- senjske, Primorsko-goranske te Splitsko-dalmatinske županije. Preostalih 5 plovila čistača mora su u naravi komercijalna specijalizirana plovila, čiju uslugu rada (čišćenja mora) županije ugovaraju u postupku javne nabave, a sufinanciraju se prema raspodjeli: u Istarskoj županiji održavanje 1 plovila, u Primorsko-goranskoj županiji 2 plovila, u Splitsko-dalmatinskoj 1 plovila, te u Dubrovačko-neretvanskoj županiji 1 plovila.  </w:t>
      </w:r>
    </w:p>
    <w:p w:rsidR="00F244BA" w:rsidRDefault="00AC19E4">
      <w:r>
        <w:t xml:space="preserve">Navedenom Odlukom utvrđeno je da se navedena financijska sredstva od 2019. godine osiguravaju na razdjelu Ministarstva mora, prometa i infrastrukture. Temeljem iste Odluke Ministarstvo mora, prometa i infrastrukture sklopilo je s priobalnim županijama odgovarajuće ugovore koji je uređeno sufinanciranje plovila čistača mora, s ciljem osiguranja stalne pripravnosti brodova i brodica čistača mora za slučaj potrebe reagiranja po Planu intervencija kod iznenadnih onečišćenja mora na području unutarnjih morskih voda i teritorijalnog mora.   </w:t>
      </w:r>
    </w:p>
    <w:p w:rsidR="00F244BA" w:rsidRDefault="00AC19E4">
      <w:r>
        <w:t>U 2024. godini Ministarstvo mora, prometa i infrastrukture izvršilo je isplate financijskih sredstava svim priobalnim županijama na koje se odnosi predmetna Odluka Vlade Republike Hrvatske, i to u iznosu od 30.526 € po plovilu čistaču mora, odnosno u ukupnom iznosu od 305.262 € godišnje za cijelu mrežu plovila čistača mora.</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Pravodobno reagiranje na iznenadna onečišćenja mora s pomorskih objekata te ograničavanje šteta u morskom okolišu i gospodarstvu, radi dostupnosti specijaliziranih plovila (brodova ili brodica) za provedbu mjera suzbijanja onečišćenja mora</w:t>
            </w:r>
          </w:p>
        </w:tc>
        <w:tc>
          <w:tcPr>
            <w:tcW w:w="2551" w:type="dxa"/>
          </w:tcPr>
          <w:p w:rsidR="00F244BA" w:rsidRDefault="00AC19E4">
            <w:pPr>
              <w:pStyle w:val="CellColumn"/>
              <w:jc w:val="left"/>
            </w:pPr>
            <w:r>
              <w:rPr>
                <w:rFonts w:cs="Times New Roman"/>
              </w:rPr>
              <w:t>Ugovaranje korištenja deset (10) specijaliziranih brodova i brodica čistača mora s posadom i opremom za suzbijanje onečišćenja mora, radi provedbe Plana intervencija kod iznenadnih onečišćenja mora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w:t>
            </w:r>
          </w:p>
        </w:tc>
        <w:tc>
          <w:tcPr>
            <w:tcW w:w="1020" w:type="dxa"/>
          </w:tcPr>
          <w:p w:rsidR="00F244BA" w:rsidRDefault="00AC19E4">
            <w:pPr>
              <w:pStyle w:val="CellColumn"/>
              <w:jc w:val="right"/>
            </w:pPr>
            <w:r>
              <w:rPr>
                <w:rFonts w:cs="Times New Roman"/>
              </w:rPr>
              <w:t>10</w:t>
            </w:r>
          </w:p>
        </w:tc>
      </w:tr>
    </w:tbl>
    <w:p w:rsidR="00F244BA" w:rsidRDefault="00F244BA">
      <w:pPr>
        <w:jc w:val="left"/>
      </w:pPr>
    </w:p>
    <w:p w:rsidR="00F244BA" w:rsidRDefault="00AC19E4">
      <w:pPr>
        <w:pStyle w:val="Naslov4"/>
      </w:pPr>
      <w:r>
        <w:t>A754065 UKLANJANJE PODRTINA I POTONULIH STVARI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A754065-UKLANJANJE PODRTINA I POTONULIH STVARI</w:t>
            </w:r>
          </w:p>
        </w:tc>
        <w:tc>
          <w:tcPr>
            <w:tcW w:w="2041" w:type="dxa"/>
          </w:tcPr>
          <w:p w:rsidR="00F244BA" w:rsidRDefault="00AC19E4">
            <w:pPr>
              <w:pStyle w:val="CellColumn"/>
              <w:jc w:val="right"/>
            </w:pPr>
            <w:r>
              <w:rPr>
                <w:rFonts w:cs="Times New Roman"/>
              </w:rPr>
              <w:t>7.964</w:t>
            </w:r>
          </w:p>
        </w:tc>
        <w:tc>
          <w:tcPr>
            <w:tcW w:w="2041" w:type="dxa"/>
          </w:tcPr>
          <w:p w:rsidR="00F244BA" w:rsidRDefault="00AC19E4">
            <w:pPr>
              <w:pStyle w:val="CellColumn"/>
              <w:jc w:val="right"/>
            </w:pPr>
            <w:r>
              <w:rPr>
                <w:rFonts w:cs="Times New Roman"/>
              </w:rPr>
              <w:t>538.043</w:t>
            </w:r>
          </w:p>
        </w:tc>
        <w:tc>
          <w:tcPr>
            <w:tcW w:w="2041" w:type="dxa"/>
          </w:tcPr>
          <w:p w:rsidR="00F244BA" w:rsidRDefault="00AC19E4">
            <w:pPr>
              <w:pStyle w:val="CellColumn"/>
              <w:jc w:val="right"/>
            </w:pPr>
            <w:r>
              <w:rPr>
                <w:rFonts w:cs="Times New Roman"/>
              </w:rPr>
              <w:t>44.607</w:t>
            </w:r>
          </w:p>
        </w:tc>
        <w:tc>
          <w:tcPr>
            <w:tcW w:w="1224" w:type="dxa"/>
          </w:tcPr>
          <w:p w:rsidR="00F244BA" w:rsidRDefault="00AC19E4">
            <w:pPr>
              <w:pStyle w:val="CellColumn"/>
              <w:jc w:val="right"/>
            </w:pPr>
            <w:r>
              <w:rPr>
                <w:rFonts w:cs="Times New Roman"/>
              </w:rPr>
              <w:t>8,3</w:t>
            </w:r>
          </w:p>
        </w:tc>
        <w:tc>
          <w:tcPr>
            <w:tcW w:w="1224" w:type="dxa"/>
          </w:tcPr>
          <w:p w:rsidR="00F244BA" w:rsidRDefault="00AC19E4">
            <w:pPr>
              <w:pStyle w:val="CellColumn"/>
              <w:jc w:val="right"/>
            </w:pPr>
            <w:r>
              <w:rPr>
                <w:rFonts w:cs="Times New Roman"/>
              </w:rPr>
              <w:t>560,1</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840.n i 840.s  </w:t>
      </w:r>
    </w:p>
    <w:p w:rsidR="00F244BA" w:rsidRDefault="00AC19E4">
      <w:r>
        <w:t>- Plan intervencija kod iznenadnih onečišćenja mora, točka 7.</w:t>
      </w:r>
    </w:p>
    <w:p w:rsidR="00F244BA" w:rsidRDefault="00AC19E4">
      <w:pPr>
        <w:pStyle w:val="Naslov8"/>
        <w:jc w:val="left"/>
      </w:pPr>
      <w:r>
        <w:t>Opis aktivnosti</w:t>
      </w:r>
    </w:p>
    <w:p w:rsidR="00F244BA" w:rsidRDefault="00AC19E4">
      <w:r>
        <w:t xml:space="preserve">Sredstva za provedu ove aktivnosti namijenjena su financiranju vađenja podrtina i potonulih stvari koje se nalaze u teritorijalnom moru i unutarnjim morskim vodama te na području isključivog gospodarskog pojasa Republike Hrvatske i epikontinentalnog pojasa Republike Hrvatske, a na koje se odnose odredbe Pomorskog zakonika propisane člankom 840.n i 840.s. Podrtine i potonule stvari predstavljaju izravnu prijetnju sigurnosti plovidbe, te su ujedno i mogući izvor onečišćenja morskog okoliša i priobalnog područja, koja mogu imati dalekosežne posljedice za sigurnost i zdravlje ljudi te morski okoliš.  </w:t>
      </w:r>
    </w:p>
    <w:p w:rsidR="00F244BA" w:rsidRDefault="00AC19E4">
      <w:r>
        <w:t xml:space="preserve">Člankom 50. stavak 3. Pomorskog zakonika utvrđeni su poslovi od javnog interesa koje u unutarnjim morskim vodama i teritorijalnom moru osigurava Republika Hrvatska, između kojih su i poslovi uređivanja i održavanja plovnih putova. Stavkom 3. istog članka propisano je da poslove uređivanja i održavanja plovnih putova obavlja trgovačko društvo Plovput d.o.o. kao javnu ovlast. Člankom 840.n stavkom 9. Pomorskog zakonika propisano je da je u slučajevima iz stavka 6. i 7. istog članka tijelo ovlašteno za uklanjanje podrtine trgovačko društvo Plovput d.o.o za podrtine koje se nalaze izvan lučkog područja, dok je stavkom 10. istog članka propisano da sredstva za uklanjanje podrtina temeljem stavka 6. i 7. istog članka osigurava tijelo ovlašteno za uklanjanje, osim kada je riječ o trgovačkom društvu Plovput d.o.o. u kojem slučaju se sredstva osiguravaju u državnom proračunu, što ne utječe na odgovornost vlasnika za sve troškove u vezi s uklanjanjem podrtine temeljem članka 840.nj. Pomorskog zakonika. Člankom 840.s stavkom 7. određeno je da je tijelo ovlašteno za uklanjanje potonule stvari iz stavka 4. istog članka trgovačko društvo Plovput d. o. o. za potonule stvari koje se nalaze izvan lučkog područja, dok je stavkom 8. istog članka određeno da sredstva za uklanjanje temeljem stavaka 4., 5. ili 6. istog članka osigurava tijelo ovlašteno za uklanjanje, osim kad je riječ o trgovačkom društvu Plovput d. o. o. u kojem slučaju se sredstva osiguravaju u državnom proračunu, što ne utječe na obvezu vlasnika da naknadi sve troškove u vezi s uklanjanjem za koje odgovara sukladno članku 840.t ovoga Zakonika.  </w:t>
      </w:r>
    </w:p>
    <w:p w:rsidR="00F244BA" w:rsidRDefault="00AC19E4">
      <w:r>
        <w:lastRenderedPageBreak/>
        <w:t xml:space="preserve"> </w:t>
      </w:r>
    </w:p>
    <w:p w:rsidR="00F244BA" w:rsidRDefault="00AC19E4">
      <w:r>
        <w:t xml:space="preserve">U 2024. godini društvo Plovput d.o.o., kao tijelo ovlašteno za uklanjanje podrtina koje se nalaze izvan lučkog područja, uklonilo je podrtinu broda Ullise of the Sea, shodno rješenju Lučke kapetanije Rijeka. Temeljem odredbi 840.n i 840.nj Pomorskog zakonika, Ministarstvo mora, prometa i infrastrukture za predmetno uklanjanje refundiralo je društvu Plovput d.o.o. ukupno 36.057,39 €. Također, društvu Plovput izvršena je refundacija troškova u vezi uklonjene podrtine Pilotbot 66, prema Rješenju Lučke kapetanije Dubrovnik u iznosu od 8.550 €.   </w:t>
      </w:r>
    </w:p>
    <w:p w:rsidR="00F244BA" w:rsidRDefault="00AC19E4">
      <w:r>
        <w:t>Do manjeg ostvarenja financijskih sredstava u okviru predmetne aktivnosti u odnosu na planirana  došlo je iz razloga što je u listopadu 2024. godine ovo Ministarstvo zaprimilo obavijest društva Wiener osiguranje Vienna Insurance Group d.d. o sklapanju tripartitnog ugovora s PJSC Insurance Company USG i VIG RE zajšt´ovna a.s., a kojim je isto društvo preuzelo obvezu zbrinjavanja podrtine m/b Deala IMO: 7405091, zastava Tanzanija, u upisanom vlasništvu „DEALA SHIPPING AND TRADING COMPANY“, Monrovia, Liberia, nasukanog dana 16. travnja 2024. godine kod rta Ubac na području Općine Raša, u svojstvu posrednika, odnosno davatelja usluge, u ime i za račun USG-a, u svrhu uklanjanja predmetne podrtine m/b Deala i njezinog zbrinjavanja, a koja je aktivnost u tijeku. S tim u vezi se ističe da kako je time prestala potreba za uklanjanjem predmetne podrtine temeljem članka 840.n stavak 5. točka b) Pomorskog zakonika, a kojim je predviđeno da, po nalogu Lučke kapetanije, podrtinu može ukloniti ovlašteno tijelo na trošak i rizik vlasnika ako on to ne učini u navedenom roku, a što je u ovom predmetnu prvotno bio slučaj. Time je i prestala potreba osiguravanja sredstava Državnog proračuna RH, koja su na ovu namjenu bila planirana, temeljem članka 840.n. stavak 10 Pomorskog zakonika.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provedenih inspekcijskih rješenja o uklanjanju podrtina i potonulih stvari koje predstavljaju zapreku i ugrozu za sigurnost plovidbe</w:t>
            </w:r>
          </w:p>
        </w:tc>
        <w:tc>
          <w:tcPr>
            <w:tcW w:w="2551" w:type="dxa"/>
          </w:tcPr>
          <w:p w:rsidR="00F244BA" w:rsidRDefault="00AC19E4">
            <w:pPr>
              <w:pStyle w:val="CellColumn"/>
              <w:jc w:val="left"/>
            </w:pPr>
            <w:r>
              <w:rPr>
                <w:rFonts w:cs="Times New Roman"/>
              </w:rPr>
              <w:t>Podizanje razine sigurnosti plovidbe plovnim putevima u unutarnjim morskim vodama, teritorijalnom moru i gospodarskom pojasu Republike Hrvatske u podmorju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3</w:t>
            </w:r>
          </w:p>
        </w:tc>
      </w:tr>
    </w:tbl>
    <w:p w:rsidR="00F244BA" w:rsidRDefault="00F244BA">
      <w:pPr>
        <w:jc w:val="left"/>
      </w:pPr>
    </w:p>
    <w:p w:rsidR="00F244BA" w:rsidRDefault="00AC19E4">
      <w:pPr>
        <w:pStyle w:val="Naslov4"/>
      </w:pPr>
      <w:r>
        <w:t>K819082 CEF 2014.-2020. - RIS COMEX 2 - PRIMJENA RIS-a U UPRAVLJANJU PROMETNIM KORIDORIMA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K819082-CEF 2014.-2020. - RIS COMEX 2 - PRIMJENA RIS-a U UPRAVLJANJU PROMETNIM KORIDORIMA</w:t>
            </w:r>
          </w:p>
        </w:tc>
        <w:tc>
          <w:tcPr>
            <w:tcW w:w="2041" w:type="dxa"/>
          </w:tcPr>
          <w:p w:rsidR="00F244BA" w:rsidRDefault="00AC19E4">
            <w:pPr>
              <w:pStyle w:val="CellColumn"/>
              <w:jc w:val="right"/>
            </w:pPr>
            <w:r>
              <w:rPr>
                <w:rFonts w:cs="Times New Roman"/>
              </w:rPr>
              <w:t>39.941</w:t>
            </w:r>
          </w:p>
        </w:tc>
        <w:tc>
          <w:tcPr>
            <w:tcW w:w="2041" w:type="dxa"/>
          </w:tcPr>
          <w:p w:rsidR="00F244BA" w:rsidRDefault="00AC19E4">
            <w:pPr>
              <w:pStyle w:val="CellColumn"/>
              <w:jc w:val="right"/>
            </w:pPr>
            <w:r>
              <w:rPr>
                <w:rFonts w:cs="Times New Roman"/>
              </w:rPr>
              <w:t>789.850</w:t>
            </w:r>
          </w:p>
        </w:tc>
        <w:tc>
          <w:tcPr>
            <w:tcW w:w="2041" w:type="dxa"/>
          </w:tcPr>
          <w:p w:rsidR="00F244BA" w:rsidRDefault="00AC19E4">
            <w:pPr>
              <w:pStyle w:val="CellColumn"/>
              <w:jc w:val="right"/>
            </w:pPr>
            <w:r>
              <w:rPr>
                <w:rFonts w:cs="Times New Roman"/>
              </w:rPr>
              <w:t>213.150</w:t>
            </w:r>
          </w:p>
        </w:tc>
        <w:tc>
          <w:tcPr>
            <w:tcW w:w="1224" w:type="dxa"/>
          </w:tcPr>
          <w:p w:rsidR="00F244BA" w:rsidRDefault="00AC19E4">
            <w:pPr>
              <w:pStyle w:val="CellColumn"/>
              <w:jc w:val="right"/>
            </w:pPr>
            <w:r>
              <w:rPr>
                <w:rFonts w:cs="Times New Roman"/>
              </w:rPr>
              <w:t>27,0</w:t>
            </w:r>
          </w:p>
        </w:tc>
        <w:tc>
          <w:tcPr>
            <w:tcW w:w="1224" w:type="dxa"/>
          </w:tcPr>
          <w:p w:rsidR="00F244BA" w:rsidRDefault="00AC19E4">
            <w:pPr>
              <w:pStyle w:val="CellColumn"/>
              <w:jc w:val="right"/>
            </w:pPr>
            <w:r>
              <w:rPr>
                <w:rFonts w:cs="Times New Roman"/>
              </w:rPr>
              <w:t>533,7</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uspostavi institucionalnog okvira za provedbu europskih strukturnih i investicijskih fondova u Republici Hrvatskoj u financijskom razdoblju 2014.-2020., članak 4., stavak 2.   </w:t>
      </w:r>
    </w:p>
    <w:p w:rsidR="00F244BA" w:rsidRDefault="00AC19E4">
      <w:r>
        <w:t xml:space="preserve">- Zakon o plovidbi i lukama unutarnjih voda, članak 113., stavak 2. i članak 172.   </w:t>
      </w:r>
    </w:p>
    <w:p w:rsidR="00F244BA" w:rsidRDefault="00AC19E4">
      <w:r>
        <w:t xml:space="preserve">- Pravilnik o riječnim informacijskim servisima u unutarnjoj plovidbi   </w:t>
      </w:r>
    </w:p>
    <w:p w:rsidR="00F244BA" w:rsidRDefault="00AC19E4">
      <w:r>
        <w:t>- Direktiva 2005/44/EZ (RIS direktiva).</w:t>
      </w:r>
    </w:p>
    <w:p w:rsidR="00F244BA" w:rsidRDefault="00AC19E4">
      <w:pPr>
        <w:pStyle w:val="Naslov8"/>
        <w:jc w:val="left"/>
      </w:pPr>
      <w:r>
        <w:lastRenderedPageBreak/>
        <w:t>Opis aktivnosti</w:t>
      </w:r>
    </w:p>
    <w:p w:rsidR="00F244BA" w:rsidRDefault="00AC19E4">
      <w:r>
        <w:t xml:space="preserve">Projektom RIS COMEX 2 predviđeno je rezultate RIS-a implementirati na europskoj razini u jedinstveno upravljanje na pojedinim prometnim koridorima, a posebno na riječnom koridoru Dunava, te cestovnim i željezničkim koridorima. Projekt uz pomoć RIS-a ima za cilj daljnji razvoj i optimizaciju upravljanja koridorima na usklađen način te prilagođen operativnim potrebama i zahtjevima dionika u području unutarnje plovidbe. Koridorske informacijske i usluge temeljene na RIS-u omogućit će poboljšano upravljanje prometom i povećanu učinkovitost tijekom postupaka (granične) kontrole od strane povezanih tijela, kao i optimizirano upravljanje transportom od strane logističkog sektora. </w:t>
      </w:r>
    </w:p>
    <w:p w:rsidR="00F244BA" w:rsidRDefault="00AC19E4">
      <w:r>
        <w:t xml:space="preserve">Sredstva su utrošena na službeno putovanje članova upravnog odbora projekta na sastanak projektnih partnera u Budimpeštu te za izradu elaborata rekonstrukcije VHF komunikacijskog sustava i na izradu elaborata rekonstrukcije HR RIS AIS infrastrukture. </w:t>
      </w:r>
    </w:p>
    <w:p w:rsidR="00F244BA" w:rsidRDefault="00AC19E4">
      <w:r>
        <w:t xml:space="preserve">Sredstva su utrošena i na izradu CEERIS aplikacijskog programskog sučelja (API). </w:t>
      </w:r>
    </w:p>
    <w:p w:rsidR="00F244BA" w:rsidRDefault="00AC19E4">
      <w:r>
        <w:t xml:space="preserve">Obzirom da se projektne aktivnosti implementiraju na razini svih 17 projektnih partnera te je dinamika projekta sporija od planiranog, došlo je do razlike izvršenja u odnosu na plan. Sredstva namijenjena za kupnju licenci za program za izradu navigacijskih karata nisu utrošena iz razloga što je dimanika izrade i uređivanja ENC karata u ovisnosti s ostalim projektnim aktivnostima. Kupnjom istih tekao bi rok valjanosti licence dok se u isto vrijeme čeka izrada tehničkih specifikacija. Iz tog razloga odlučeno je ne kupovati licencu unaprijed. </w:t>
      </w:r>
    </w:p>
    <w:p w:rsidR="00F244BA" w:rsidRDefault="00AC19E4">
      <w:r>
        <w:t>Ostatak projektnih aktivnosti će se implementirati tijekom razdoblja 2026.-2027.</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Stupanj implementacije rezultata RIS-a</w:t>
            </w:r>
          </w:p>
        </w:tc>
        <w:tc>
          <w:tcPr>
            <w:tcW w:w="2551" w:type="dxa"/>
          </w:tcPr>
          <w:p w:rsidR="00F244BA" w:rsidRDefault="00AC19E4">
            <w:pPr>
              <w:pStyle w:val="CellColumn"/>
              <w:jc w:val="left"/>
            </w:pPr>
            <w:r>
              <w:rPr>
                <w:rFonts w:cs="Times New Roman"/>
              </w:rPr>
              <w:t>Međunarodna implementacija i uporaba RIS-a na ključnim prometnim koridorima unutarnje plovidbe</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25</w:t>
            </w:r>
          </w:p>
        </w:tc>
        <w:tc>
          <w:tcPr>
            <w:tcW w:w="1020" w:type="dxa"/>
          </w:tcPr>
          <w:p w:rsidR="00F244BA" w:rsidRDefault="00AC19E4">
            <w:pPr>
              <w:pStyle w:val="CellColumn"/>
              <w:jc w:val="right"/>
            </w:pPr>
            <w:r>
              <w:rPr>
                <w:rFonts w:cs="Times New Roman"/>
              </w:rPr>
              <w:t>8</w:t>
            </w:r>
          </w:p>
        </w:tc>
      </w:tr>
    </w:tbl>
    <w:p w:rsidR="00F244BA" w:rsidRDefault="00F244BA">
      <w:pPr>
        <w:jc w:val="left"/>
      </w:pPr>
    </w:p>
    <w:p w:rsidR="00F244BA" w:rsidRDefault="00AC19E4">
      <w:pPr>
        <w:pStyle w:val="Naslov4"/>
      </w:pPr>
      <w:r>
        <w:t>K819083 KIBERNETIČKA SIGURNOST U HRVATSKOM POMORSKOM PROMETU- CYSCROMS</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K819083-KIBERNETIČKA SIGURNOST U HRVATSKOM POMORSKOM PROMETU- CYSCROMS</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1.429.646</w:t>
            </w:r>
          </w:p>
        </w:tc>
        <w:tc>
          <w:tcPr>
            <w:tcW w:w="2041" w:type="dxa"/>
          </w:tcPr>
          <w:p w:rsidR="00F244BA" w:rsidRDefault="00AC19E4">
            <w:pPr>
              <w:pStyle w:val="CellColumn"/>
              <w:jc w:val="right"/>
            </w:pPr>
            <w:r>
              <w:rPr>
                <w:rFonts w:cs="Times New Roman"/>
              </w:rPr>
              <w:t>1.222.743</w:t>
            </w:r>
          </w:p>
        </w:tc>
        <w:tc>
          <w:tcPr>
            <w:tcW w:w="1224" w:type="dxa"/>
          </w:tcPr>
          <w:p w:rsidR="00F244BA" w:rsidRDefault="00AC19E4">
            <w:pPr>
              <w:pStyle w:val="CellColumn"/>
              <w:jc w:val="right"/>
            </w:pPr>
            <w:r>
              <w:rPr>
                <w:rFonts w:cs="Times New Roman"/>
              </w:rPr>
              <w:t>85,5</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Direktiva (EU) 2016/1148 Europskog parlamenta i Vijeća od 6. srpnja 2016. o mjerama za visoku zajedničku razinu sigurnosti mrežnih i informacijskih sustava širom Unije (Direktiva NIS) </w:t>
      </w:r>
    </w:p>
    <w:p w:rsidR="00F244BA" w:rsidRDefault="00AC19E4">
      <w:r>
        <w:t xml:space="preserve">- Direktiva (EU) 2022/2555 Europskog parlamenta i Vijeća od 14. prosinca 2022. o mjerama za visoku zajedničku razinu kibernetičke sigurnosti širom Unije, izmjeni Uredbe (EU) br. 910/2014 i Direktive (EU) 2018/1972 i stavljanju izvan snage Direktive (EU) 2016/1148 (Direktiva NIS 2) </w:t>
      </w:r>
    </w:p>
    <w:p w:rsidR="00F244BA" w:rsidRDefault="00AC19E4">
      <w:r>
        <w:t xml:space="preserve">- Zakon o kibernetičkoj sigurnosti operatora ključnih usluga i davatelja digitalnih usluga </w:t>
      </w:r>
    </w:p>
    <w:p w:rsidR="00F244BA" w:rsidRDefault="00AC19E4">
      <w:r>
        <w:t>- Uredba o kibernetičkoj sigurnosti operatora ključnih usluga i davatelja digitalnih usluga</w:t>
      </w:r>
    </w:p>
    <w:p w:rsidR="00F244BA" w:rsidRDefault="00AC19E4">
      <w:pPr>
        <w:pStyle w:val="Naslov8"/>
        <w:jc w:val="left"/>
      </w:pPr>
      <w:r>
        <w:lastRenderedPageBreak/>
        <w:t>Opis aktivnosti</w:t>
      </w:r>
    </w:p>
    <w:p w:rsidR="00F244BA" w:rsidRDefault="00AC19E4">
      <w:r>
        <w:t xml:space="preserve">Ministarstvo mora, prometa i infrastrukture vodeći je projektni partner u projektu CYSCROMS - Cyber Safety in Croatian maritime Transport Sectoe, čija je provedba započela 1. listopada 2023. godine, a trajati će ukupno 36 mjeseci. Projekt CYSCROMS sufinancira se iz programa Digital Europe, a u njemu pored Ministarstva mora, prometa i infrastrukture sudjeluju lučke uprave Zadar, Split, Ploče i Dubrovnik, te Jadrolinija i Plovput. Cilj projekta je osigurati visoku razinu usklađenosti identificiranih operatora ključnih usluga sa zahtjevima iz Direktive NIS, odnosno s Direktivom NIS 2 koja ju nasljeđuje kao odgovor EU na rastuće prijetnje u kibernetičkom prostoru i veće zahtjeve za poduzimanjem mjera kibernetičke sigurnosti. Ukupna vrijednost projekta CYSCROMS iznosi 5.101.672,56 €, pri čemu maksimalni iznos EU sufinanciranja iznosi 2.550.836,29 €. Planirani iznos EU sufinanciranja koji se odnosi na Ministarstvo mora, prometa i infrastrukture kao partnera iznosi 334.246,52 €. </w:t>
      </w:r>
    </w:p>
    <w:p w:rsidR="00F244BA" w:rsidRDefault="00AC19E4">
      <w:r>
        <w:t>U 2024. godini Ministarstvo mora, prometa i infrastrukture kao vodeći partner provelo je postupak nabave usluga tehničke pomoći u provedbi projekta, koordinaciji te provedbi aktivnosti iz domene kibernetičke sigurnosti u sklopu projekta CYSCROMS, te je sklopilo ugovor s odabranim ponudteljem u ukupnoj vrijednosti 186.500 €, tek krajem godine, što je rezultiralo manjim izvršenjem od plana. Predmetni ugovor realizirat će se tijekom implementacije projekta. Također, tijekom 2024. godine financijska sredstva utrošena su i za potrebe realizacije sastanaka Upravljačkog odbora konzorcija, a koje je shodno projektnom planu organizirao vodeći projektni partner.Pokazatelji rezultata.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Podizanje razine kibernetičke sigurnosti operatora ključnih usluga u pomorskom prometu</w:t>
            </w:r>
          </w:p>
        </w:tc>
        <w:tc>
          <w:tcPr>
            <w:tcW w:w="2551" w:type="dxa"/>
          </w:tcPr>
          <w:p w:rsidR="00F244BA" w:rsidRDefault="00AC19E4">
            <w:pPr>
              <w:pStyle w:val="CellColumn"/>
              <w:jc w:val="left"/>
            </w:pPr>
            <w:r>
              <w:rPr>
                <w:rFonts w:cs="Times New Roman"/>
              </w:rPr>
              <w:t>Postizanje višeg stupnja kibernetičke sigurnosti operatora ključnih usluga u podsektoru vodni prijevoz kroz osiguranje usklađenosti sa zahtjevima iz Direktive NIS2</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25</w:t>
            </w:r>
          </w:p>
        </w:tc>
        <w:tc>
          <w:tcPr>
            <w:tcW w:w="1020" w:type="dxa"/>
          </w:tcPr>
          <w:p w:rsidR="00F244BA" w:rsidRDefault="00AC19E4">
            <w:pPr>
              <w:pStyle w:val="CellColumn"/>
              <w:jc w:val="right"/>
            </w:pPr>
            <w:r>
              <w:rPr>
                <w:rFonts w:cs="Times New Roman"/>
              </w:rPr>
              <w:t>25</w:t>
            </w:r>
          </w:p>
        </w:tc>
      </w:tr>
    </w:tbl>
    <w:p w:rsidR="00F244BA" w:rsidRDefault="00F244BA">
      <w:pPr>
        <w:jc w:val="left"/>
      </w:pPr>
    </w:p>
    <w:p w:rsidR="00F244BA" w:rsidRDefault="00AC19E4">
      <w:pPr>
        <w:pStyle w:val="Naslov4"/>
      </w:pPr>
      <w:r>
        <w:t>K820078 OBNOVA SAR FLOTE LUČKIH KAPETANIJA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K820078-OBNOVA SAR FLOTE LUČKIH KAPETANIJA</w:t>
            </w:r>
          </w:p>
        </w:tc>
        <w:tc>
          <w:tcPr>
            <w:tcW w:w="2041" w:type="dxa"/>
          </w:tcPr>
          <w:p w:rsidR="00F244BA" w:rsidRDefault="00AC19E4">
            <w:pPr>
              <w:pStyle w:val="CellColumn"/>
              <w:jc w:val="right"/>
            </w:pPr>
            <w:r>
              <w:rPr>
                <w:rFonts w:cs="Times New Roman"/>
              </w:rPr>
              <w:t>2.876.553</w:t>
            </w:r>
          </w:p>
        </w:tc>
        <w:tc>
          <w:tcPr>
            <w:tcW w:w="2041" w:type="dxa"/>
          </w:tcPr>
          <w:p w:rsidR="00F244BA" w:rsidRDefault="00AC19E4">
            <w:pPr>
              <w:pStyle w:val="CellColumn"/>
              <w:jc w:val="right"/>
            </w:pPr>
            <w:r>
              <w:rPr>
                <w:rFonts w:cs="Times New Roman"/>
              </w:rPr>
              <w:t>4.478.240</w:t>
            </w:r>
          </w:p>
        </w:tc>
        <w:tc>
          <w:tcPr>
            <w:tcW w:w="2041" w:type="dxa"/>
          </w:tcPr>
          <w:p w:rsidR="00F244BA" w:rsidRDefault="00AC19E4">
            <w:pPr>
              <w:pStyle w:val="CellColumn"/>
              <w:jc w:val="right"/>
            </w:pPr>
            <w:r>
              <w:rPr>
                <w:rFonts w:cs="Times New Roman"/>
              </w:rPr>
              <w:t>4.478.231</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155,7</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članci 50., 165. i 176. a </w:t>
      </w:r>
    </w:p>
    <w:p w:rsidR="00F244BA" w:rsidRDefault="00AC19E4">
      <w:r>
        <w:t>- Zakon o lučkim kapetanijama, članak 8.</w:t>
      </w:r>
    </w:p>
    <w:p w:rsidR="00F244BA" w:rsidRDefault="00AC19E4">
      <w:pPr>
        <w:pStyle w:val="Naslov8"/>
        <w:jc w:val="left"/>
      </w:pPr>
      <w:r>
        <w:t>Opis aktivnosti</w:t>
      </w:r>
    </w:p>
    <w:p w:rsidR="00F244BA" w:rsidRDefault="00AC19E4">
      <w:r>
        <w:t xml:space="preserve">Ovom aktivnosti osigurana su sredstva državnog proračuna za obnovu flote koja je nužna za pružanje usluga sigurnosti plovidbe kao što su traganje i spašavanje osoba u pogibelji na moru te za nadzor i upravljanje pomorskim prometom. U 2024. godini je bio planiran nastavak obnove flote i nabava novih brodica.  </w:t>
      </w:r>
    </w:p>
    <w:p w:rsidR="00F244BA" w:rsidRDefault="00AC19E4">
      <w:r>
        <w:t xml:space="preserve">Isporuka jedne aluminijske brodice tipa SAR 15, koja je bila dovedena u pitanje zbog financijskih poteškoća u koje je upalo brodogradilište Cantiere Navale, nije obavljena te je Ugovor raskinut.   </w:t>
      </w:r>
    </w:p>
    <w:p w:rsidR="00F244BA" w:rsidRDefault="00AC19E4">
      <w:r>
        <w:lastRenderedPageBreak/>
        <w:t>Isporučeno je pet (5)  gumenjaka sa stakloplastičnim dnom 5 pet (5) stakloplastičnih brodica za lučke kapetanije Tijekom 2024. godine brodice RH 1 ST, RH 2 ST, RH 9 ST, RH 1 PL, RH 3 SE, RH 5 ZD, RH 9 PU  i  RH 25 RK su rashodovane te se nalaze u postupku prodaje ili donacije.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Smanjenje prosječne starosti i unifikacija flote lučkih kapetanija</w:t>
            </w:r>
          </w:p>
        </w:tc>
        <w:tc>
          <w:tcPr>
            <w:tcW w:w="2551" w:type="dxa"/>
          </w:tcPr>
          <w:p w:rsidR="00F244BA" w:rsidRDefault="00AC19E4">
            <w:pPr>
              <w:pStyle w:val="CellColumn"/>
              <w:jc w:val="left"/>
            </w:pPr>
            <w:r>
              <w:rPr>
                <w:rFonts w:cs="Times New Roman"/>
              </w:rPr>
              <w:t>Nabavom 34 nova plovila, te zamjenom plovila starijih od 10 godina smanjuje se prosječna starost plovila, povećava njihova i sigurnost djelatnika lučkih kapetanija i ispostava lučkih kapetanija</w:t>
            </w:r>
          </w:p>
        </w:tc>
        <w:tc>
          <w:tcPr>
            <w:tcW w:w="1020" w:type="dxa"/>
          </w:tcPr>
          <w:p w:rsidR="00F244BA" w:rsidRDefault="00AC19E4">
            <w:pPr>
              <w:pStyle w:val="CellColumn"/>
              <w:jc w:val="right"/>
            </w:pPr>
            <w:r>
              <w:rPr>
                <w:rFonts w:cs="Times New Roman"/>
              </w:rPr>
              <w:t>Prosječna starost voznog parka</w:t>
            </w:r>
          </w:p>
        </w:tc>
        <w:tc>
          <w:tcPr>
            <w:tcW w:w="1020" w:type="dxa"/>
          </w:tcPr>
          <w:p w:rsidR="00F244BA" w:rsidRDefault="00AC19E4">
            <w:pPr>
              <w:pStyle w:val="CellColumn"/>
              <w:jc w:val="right"/>
            </w:pPr>
            <w:r>
              <w:rPr>
                <w:rFonts w:cs="Times New Roman"/>
              </w:rPr>
              <w:t>20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15</w:t>
            </w:r>
          </w:p>
        </w:tc>
        <w:tc>
          <w:tcPr>
            <w:tcW w:w="1020" w:type="dxa"/>
          </w:tcPr>
          <w:p w:rsidR="00F244BA" w:rsidRDefault="00AC19E4">
            <w:pPr>
              <w:pStyle w:val="CellColumn"/>
              <w:jc w:val="right"/>
            </w:pPr>
            <w:r>
              <w:rPr>
                <w:rFonts w:cs="Times New Roman"/>
              </w:rPr>
              <w:t>14,29</w:t>
            </w:r>
          </w:p>
        </w:tc>
      </w:tr>
    </w:tbl>
    <w:p w:rsidR="00F244BA" w:rsidRDefault="00F244BA">
      <w:pPr>
        <w:jc w:val="left"/>
      </w:pPr>
    </w:p>
    <w:p w:rsidR="00F244BA" w:rsidRDefault="00AC19E4">
      <w:pPr>
        <w:pStyle w:val="Naslov4"/>
      </w:pPr>
      <w:r>
        <w:t>T810059 NACIONALNI SUSTAV ZA SUZBIJANJE ONEČIŠĆENJA MORA VELIKIH RAZMJERA - EAS HR</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T810059-NACIONALNI SUSTAV ZA SUZBIJANJE ONEČIŠĆENJA MORA VELIKIH RAZMJERA - EAS HR</w:t>
            </w:r>
          </w:p>
        </w:tc>
        <w:tc>
          <w:tcPr>
            <w:tcW w:w="2041" w:type="dxa"/>
          </w:tcPr>
          <w:p w:rsidR="00F244BA" w:rsidRDefault="00AC19E4">
            <w:pPr>
              <w:pStyle w:val="CellColumn"/>
              <w:jc w:val="right"/>
            </w:pPr>
            <w:r>
              <w:rPr>
                <w:rFonts w:cs="Times New Roman"/>
              </w:rPr>
              <w:t>1.217.440</w:t>
            </w:r>
          </w:p>
        </w:tc>
        <w:tc>
          <w:tcPr>
            <w:tcW w:w="2041" w:type="dxa"/>
          </w:tcPr>
          <w:p w:rsidR="00F244BA" w:rsidRDefault="00AC19E4">
            <w:pPr>
              <w:pStyle w:val="CellColumn"/>
              <w:jc w:val="right"/>
            </w:pPr>
            <w:r>
              <w:rPr>
                <w:rFonts w:cs="Times New Roman"/>
              </w:rPr>
              <w:t>1.308.937</w:t>
            </w:r>
          </w:p>
        </w:tc>
        <w:tc>
          <w:tcPr>
            <w:tcW w:w="2041" w:type="dxa"/>
          </w:tcPr>
          <w:p w:rsidR="00F244BA" w:rsidRDefault="00AC19E4">
            <w:pPr>
              <w:pStyle w:val="CellColumn"/>
              <w:jc w:val="right"/>
            </w:pPr>
            <w:r>
              <w:rPr>
                <w:rFonts w:cs="Times New Roman"/>
              </w:rPr>
              <w:t>1.241.780</w:t>
            </w:r>
          </w:p>
        </w:tc>
        <w:tc>
          <w:tcPr>
            <w:tcW w:w="1224" w:type="dxa"/>
          </w:tcPr>
          <w:p w:rsidR="00F244BA" w:rsidRDefault="00AC19E4">
            <w:pPr>
              <w:pStyle w:val="CellColumn"/>
              <w:jc w:val="right"/>
            </w:pPr>
            <w:r>
              <w:rPr>
                <w:rFonts w:cs="Times New Roman"/>
              </w:rPr>
              <w:t>94,9</w:t>
            </w:r>
          </w:p>
        </w:tc>
        <w:tc>
          <w:tcPr>
            <w:tcW w:w="1224" w:type="dxa"/>
          </w:tcPr>
          <w:p w:rsidR="00F244BA" w:rsidRDefault="00AC19E4">
            <w:pPr>
              <w:pStyle w:val="CellColumn"/>
              <w:jc w:val="right"/>
            </w:pPr>
            <w:r>
              <w:rPr>
                <w:rFonts w:cs="Times New Roman"/>
              </w:rPr>
              <w:t>102,0</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49. h, članak 55.f i članak 55.h </w:t>
      </w:r>
    </w:p>
    <w:p w:rsidR="00F244BA" w:rsidRDefault="00AC19E4">
      <w:r>
        <w:t>- Plan intervencija kod iznenadnih onečišćenja mora, točke 31., 35., 40. i 108.</w:t>
      </w:r>
    </w:p>
    <w:p w:rsidR="00F244BA" w:rsidRDefault="00AC19E4">
      <w:pPr>
        <w:pStyle w:val="Naslov8"/>
        <w:jc w:val="left"/>
      </w:pPr>
      <w:r>
        <w:t>Opis aktivnosti</w:t>
      </w:r>
    </w:p>
    <w:p w:rsidR="00F244BA" w:rsidRDefault="00AC19E4">
      <w:r>
        <w:t xml:space="preserve">Uzimajući u obzir dinamiku pomorskog prometa koji se odvija u području Jadranskog mora te da se u hrvatskim lukama godišnje prosječno pretovari oko 23 milijuna tona različitog tereta od čega se gotovo 50% odnosi na opasni teret i da se u pomorskom prometu koji se tiče hrvatske morske luke ostvari prijevoz više od 19 milijuna putnika godišnje, kao i da se na području epikontinentalnog pojasa Republike Hrvatske nalaze tri eksploatacijska polja ugljikovodika, postoji značajna opasnost od pomorskih nesreća koje mogu prouzročiti iznenadna onečišćenja morskog okoliša, a koja mogu biti pogubna kako za morski okoliš, tako i za hrvatsko gospodarstvo koje je u velikoj mjeri ovisno o njegovom dobrom stanju. Radi toga, trajna je obveza Republike Hrvatske kao obalne države samostalno, ali i u suradnji s ostalim sudionicima Plana intervencija kod iznenadnih onečišćenja mora, kao i nadležnim tijelima susjednih država, voditi posebnu brigu o zaštiti Jadranskog mora, a osobito u pogledu provedbe i jačanja mjera prevencije kao i jačanja nacionalnih kapaciteta za reagiranje kod iznenadnih onečišćenja mora. Radi osiguravanja primjerenog nacionalnog odgovora na iznenadna onečišćenja, odnosno uspostave učinkovitog sustava reagiranja sukladno Planu intervencija kod iznenadnih onečišćenja mora te osiguravanja dostupnosti specijalizirane opreme za provedbu intervencija, Ministarstvo mora, prometa i infrastrukture kao tijelo nadležno za provedbu Plana intervencija kod iznenadnih onečišćenja mora tijekom 2022. godine sklopilo je okvirne sporazume s više gospodarskih subjekata za razdoblje od 4 godine za nabavu usluge provedbe mjera intervencija zaštite mora od onečišćenja te nabavu opreme i sredstava za intervencije kod iznenadnih onečišćenja mora. Temeljem navedenog, u 2023. godini sklopljeni su ugovori o nabavama čime je realizirano djelomično opremanje prvog od ukupno tri </w:t>
      </w:r>
      <w:r>
        <w:lastRenderedPageBreak/>
        <w:t xml:space="preserve">planirana EAS-HR sustava, a koji je temeljem Sporazuma sklopljenog između Ministarstva mora, prometa i infrastrukture i Ministarstva obrane RH,  uskladišten u vojarni „Sveto Letica – Barba“ u Splitu.  </w:t>
      </w:r>
    </w:p>
    <w:p w:rsidR="00F244BA" w:rsidRDefault="00AC19E4">
      <w:r>
        <w:t xml:space="preserve">Tijekom 2024. godine Ministarstvo mora prometa i infrastrukture nastavilo je s opremanjem prvog EAS-HR, kada je nabavljeno još 5 kontejnera s visokokapacitetnim branama s pratećom opremom ukupne dužine 2,5 km. Ovim je dovršen postupak osnovnog opremanja prvog EAS-HR sustava, u kojem je uskladišteno sveukupno: 4.250 m brana s pripadajućom opremom, dva skimmera kapaciteta 50m3 s pripadajućom opremom, jedan kontejnerizirani posebni sustav za prikupljanje teških ulja, krhotina i plutajućeg otpada te ukupno 110 m3 kapaciteta za privremeno skladištenje ulja i opasnih tekućina na moru i obali.  </w:t>
      </w:r>
    </w:p>
    <w:p w:rsidR="00F244BA" w:rsidRDefault="00AC19E4">
      <w:r>
        <w:t xml:space="preserve">U 2024. godini izvršena je i edukacija osoblja uključenog u provedbu Plana intervencija kod iznenadnih onečišćenja mora prema modelu IMO level II i IMO level III.  </w:t>
      </w:r>
    </w:p>
    <w:p w:rsidR="00F244BA" w:rsidRDefault="00AC19E4">
      <w:r>
        <w:t>U narednom razdoblju Ministarstvo mora, prometa i infrasrukture nastavlja s ovim projektom kada će pristupiti početnom opremanju drugog EAS-HR koji će biti smješten na području sjevernog Jadrana.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Uspostava 3 EAS-HR centra na području priobalnih županija, opremljenih specijaliziranom opremom (brane, skimmeri, ostala oprema) za provedbu mjera suzbijanja onečišćenja mora velikih razmjera, te ograničavanja šteta u morskom okolišu i gospodarstvu</w:t>
            </w:r>
          </w:p>
        </w:tc>
        <w:tc>
          <w:tcPr>
            <w:tcW w:w="2551" w:type="dxa"/>
          </w:tcPr>
          <w:p w:rsidR="00F244BA" w:rsidRDefault="00AC19E4">
            <w:pPr>
              <w:pStyle w:val="CellColumn"/>
              <w:jc w:val="left"/>
            </w:pPr>
            <w:r>
              <w:rPr>
                <w:rFonts w:cs="Times New Roman"/>
              </w:rPr>
              <w:t>Primjereni odgovor na iznenadna onečišćenja odnosno učinkovito reagiranje po Planu intervencija kod iznenadnih onečišćenja mora i Subregionalnom planu intervencija za sprječavanje, spremnost za i reagiranje na iznenadna onečišćenja Jadranskog mora većih razmjera s pomorskih objekata, radi dostupnosti specijalizirane opreme za provedbu intervencija u slučaju onečišćenja mora velikih razmjera, razmještene u logističke centre duž Jadranske obale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0,5</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1</w:t>
            </w:r>
          </w:p>
        </w:tc>
      </w:tr>
    </w:tbl>
    <w:p w:rsidR="00F244BA" w:rsidRDefault="00F244BA">
      <w:pPr>
        <w:jc w:val="left"/>
      </w:pPr>
    </w:p>
    <w:p w:rsidR="00F244BA" w:rsidRDefault="00AC19E4">
      <w:pPr>
        <w:pStyle w:val="Naslov4"/>
      </w:pPr>
      <w:r>
        <w:t>T810060 PROJEKT PROŠIRENJA I PRODUBLJENJA PLOVNOG KANALA PRIVLAČKI GAZ</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T810060-PROJEKT PROŠIRENJA I PRODUBLJENJA PLOVNOG KANALA PRIVLAČKI GAZ</w:t>
            </w:r>
          </w:p>
        </w:tc>
        <w:tc>
          <w:tcPr>
            <w:tcW w:w="2041" w:type="dxa"/>
          </w:tcPr>
          <w:p w:rsidR="00F244BA" w:rsidRDefault="00AC19E4">
            <w:pPr>
              <w:pStyle w:val="CellColumn"/>
              <w:jc w:val="right"/>
            </w:pPr>
            <w:r>
              <w:rPr>
                <w:rFonts w:cs="Times New Roman"/>
              </w:rPr>
              <w:t>576.559</w:t>
            </w:r>
          </w:p>
        </w:tc>
        <w:tc>
          <w:tcPr>
            <w:tcW w:w="2041" w:type="dxa"/>
          </w:tcPr>
          <w:p w:rsidR="00F244BA" w:rsidRDefault="00AC19E4">
            <w:pPr>
              <w:pStyle w:val="CellColumn"/>
              <w:jc w:val="right"/>
            </w:pPr>
            <w:r>
              <w:rPr>
                <w:rFonts w:cs="Times New Roman"/>
              </w:rPr>
              <w:t>350.000</w:t>
            </w:r>
          </w:p>
        </w:tc>
        <w:tc>
          <w:tcPr>
            <w:tcW w:w="2041" w:type="dxa"/>
          </w:tcPr>
          <w:p w:rsidR="00F244BA" w:rsidRDefault="00AC19E4">
            <w:pPr>
              <w:pStyle w:val="CellColumn"/>
              <w:jc w:val="right"/>
            </w:pPr>
            <w:r>
              <w:rPr>
                <w:rFonts w:cs="Times New Roman"/>
              </w:rPr>
              <w:t>269.814</w:t>
            </w:r>
          </w:p>
        </w:tc>
        <w:tc>
          <w:tcPr>
            <w:tcW w:w="1224" w:type="dxa"/>
          </w:tcPr>
          <w:p w:rsidR="00F244BA" w:rsidRDefault="00AC19E4">
            <w:pPr>
              <w:pStyle w:val="CellColumn"/>
              <w:jc w:val="right"/>
            </w:pPr>
            <w:r>
              <w:rPr>
                <w:rFonts w:cs="Times New Roman"/>
              </w:rPr>
              <w:t>77,1</w:t>
            </w:r>
          </w:p>
        </w:tc>
        <w:tc>
          <w:tcPr>
            <w:tcW w:w="1224" w:type="dxa"/>
          </w:tcPr>
          <w:p w:rsidR="00F244BA" w:rsidRDefault="00AC19E4">
            <w:pPr>
              <w:pStyle w:val="CellColumn"/>
              <w:jc w:val="right"/>
            </w:pPr>
            <w:r>
              <w:rPr>
                <w:rFonts w:cs="Times New Roman"/>
              </w:rPr>
              <w:t>46,8</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50., stavak 3.; članci 51. i 52. </w:t>
      </w:r>
    </w:p>
    <w:p w:rsidR="00F244BA" w:rsidRDefault="00AC19E4">
      <w:r>
        <w:lastRenderedPageBreak/>
        <w:t xml:space="preserve">- Zakon o Plovputu </w:t>
      </w:r>
    </w:p>
    <w:p w:rsidR="00F244BA" w:rsidRDefault="00AC19E4">
      <w:r>
        <w:t xml:space="preserve">- Sporazum o koordinaciji, zajedničkom financiranju i realizaciji izvođenja radova proširenja i produbljenja plovnog kanala Privlački gaz (1/1-2-1983/18-3848/ŽM) </w:t>
      </w:r>
    </w:p>
    <w:p w:rsidR="00F244BA" w:rsidRDefault="00AC19E4">
      <w:r>
        <w:t xml:space="preserve">- Aneks br. 1. Sporazuma o koordinaciji, zajedničkom financiranju i realizaciji izvođenja radova proširenja i produbljenja plovnog kanala Privlački gaz broj: 1/1-2-1983/18-3848/ŽM </w:t>
      </w:r>
    </w:p>
    <w:p w:rsidR="00F244BA" w:rsidRDefault="00AC19E4">
      <w:r>
        <w:t>- Ugovor o zajedničkom financiranju projekta proširenja i produbljenja plovnog kanala Privlački gaz Broj: 1/1-2- 3016/19-4133/ŽM</w:t>
      </w:r>
    </w:p>
    <w:p w:rsidR="00F244BA" w:rsidRDefault="00AC19E4">
      <w:pPr>
        <w:pStyle w:val="Naslov8"/>
        <w:jc w:val="left"/>
      </w:pPr>
      <w:r>
        <w:t>Opis aktivnosti</w:t>
      </w:r>
    </w:p>
    <w:p w:rsidR="00F244BA" w:rsidRDefault="00AC19E4">
      <w:r>
        <w:t xml:space="preserve">Plovput d.o.o, Zadarska županija, Grad Nin, Općina Privlaka, Općina Vir, Općina Vrsi, te Ministarstvo mora, prometa i infrastrukture dana 7. prosinca 2018. godine zaključili su Sporazum o koordinaciji, zajedničkom financiranju i realizaciji izvođenja radova proširenja i produbljenja plovnog kanala Privlački gaz broj: 1/1-2- 1983/18-3848/ŽM, kojim su uređeni međusobni odnosi u svezi koordinacije aktivnosti, zajedničkog financiranja i realizacije izvođenja radova proširenja i produbljenja plovnog kanala Privlački gaz. U svrhu realizacije navedenog projekta, Ministarstvo mora, prometa i infrastrukture je temeljem potpisanog Sporazuma, kao i Odluke o dodjeli proračunskih sredstava namijenjenih za sufinanciranje i realizaciju izvođenja radova proširenja i produbljenja plovnog kanala Privlački gaz u 2018. godini, isplatilo trgovačkom društvu Plovput d.o.o. financijska sredstva u iznosu od 71.225 € za nabavu dijela od potrebnih 26 konstrukcija zglobno - elastičnih oznaka plovnog puta i dvije oznake sredine i visine slobodnog prolaza plovila ispod mosta na području plovnog puta Privlački gaz. Dana 14. svibnja 2021. godine ugovorne strane sklopile su Aneks br. 1. Sporazuma o koordinaciji, zajedničkom financiranju i realizaciji izvođenja radova proširenja i produbljenja plovnog kanala Privlački gaz broj: 1/1-2- 1983/18-3848/ŽM kojim je utvrđen udjel sufinanciranja projekta od strane svih ugovornih stranaka Sporazuma. Istim Aneksom br. 1 Sporazuma utvrđeno je da će Ministarstva mora, prometa i infrastrukture sudjelovati u financiranju radova u postotku od 42,51% ukupne procijenjene vrijednosti projekta.   </w:t>
      </w:r>
    </w:p>
    <w:p w:rsidR="00F244BA" w:rsidRDefault="00AC19E4">
      <w:r>
        <w:t xml:space="preserve">Nakon što je Plovput d.o.o. proveo sve postupke javne nabave, odnosno po konačnom utvrđivanju iznosa neophodnog za financiranja cjelokupnog projekta Ministarstvo mora, prometa i infrastrukture zaključilo je dana 22. prosinca 2021. godine Ugovor o zajedničkom financiranju projekta proširenja i produbljenja plovnog kanala Privlački gaz Broj: 1/1-2-3016/19-4133/ŽM s ostalim navedenim ugovornim stranama. Obzirom na okolnosti koje su pratile provedbu projekta, u njegovoj izvedbi tijekom realizacije došlo je do promjene planirane dinamike radova, kao i tehnoloških izmjena, posljedično čemu su između ugovornih partnera sklopljeni i dodaci navedenom ugovoru.  </w:t>
      </w:r>
    </w:p>
    <w:p w:rsidR="00F244BA" w:rsidRDefault="00AC19E4">
      <w:r>
        <w:t>Tijekom 2024.  Ministarstvo mora, prometa i infrastrukture izvršilo je sve svoje obveze po predmetnom projektu, čime je ujedno isti u odnosu na Ministarstvo mora, prometa i infrastrukture i dovršen. Sredstva utrošena su za radove produbljenja i proširenja plovnog kanala Privlački gaz, sukladno projektnoj dokumentaciji.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Proširen i produbljen plovni kanal Privlački gaz</w:t>
            </w:r>
          </w:p>
        </w:tc>
        <w:tc>
          <w:tcPr>
            <w:tcW w:w="2551" w:type="dxa"/>
          </w:tcPr>
          <w:p w:rsidR="00F244BA" w:rsidRDefault="00AC19E4">
            <w:pPr>
              <w:pStyle w:val="CellColumn"/>
              <w:jc w:val="left"/>
            </w:pPr>
            <w:r>
              <w:rPr>
                <w:rFonts w:cs="Times New Roman"/>
              </w:rPr>
              <w:t>Proširenjem i produbljenjem Privlačkog gaza podići će se razina sigurnosti plovidbe, skratiti plovidba i omogućiti dvosmjerna plovidba kanalom za sva plovila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80</w:t>
            </w:r>
          </w:p>
        </w:tc>
        <w:tc>
          <w:tcPr>
            <w:tcW w:w="1020" w:type="dxa"/>
          </w:tcPr>
          <w:p w:rsidR="00F244BA" w:rsidRDefault="00AC19E4">
            <w:pPr>
              <w:pStyle w:val="CellColumn"/>
              <w:jc w:val="right"/>
            </w:pPr>
            <w:r>
              <w:rPr>
                <w:rFonts w:cs="Times New Roman"/>
              </w:rPr>
              <w:t>MMPI, Plovput d.o.o.</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T820080 NAMIRS - SUSTAV REAGIRANJA NA IZNENADNA ONEČIŠĆENJA MORA S POMORSKIH OBJEKATA U SJEVERNOM JADRANU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T820080-NAMIRS - SUSTAV REAGIRANJA NA IZNENADNA ONEČIŠĆENJA MORA S POMORSKIH OBJEKATA U SJEVERNOM JADRANU</w:t>
            </w:r>
          </w:p>
        </w:tc>
        <w:tc>
          <w:tcPr>
            <w:tcW w:w="2041" w:type="dxa"/>
          </w:tcPr>
          <w:p w:rsidR="00F244BA" w:rsidRDefault="00AC19E4">
            <w:pPr>
              <w:pStyle w:val="CellColumn"/>
              <w:jc w:val="right"/>
            </w:pPr>
            <w:r>
              <w:rPr>
                <w:rFonts w:cs="Times New Roman"/>
              </w:rPr>
              <w:t>14.367</w:t>
            </w:r>
          </w:p>
        </w:tc>
        <w:tc>
          <w:tcPr>
            <w:tcW w:w="2041" w:type="dxa"/>
          </w:tcPr>
          <w:p w:rsidR="00F244BA" w:rsidRDefault="00AC19E4">
            <w:pPr>
              <w:pStyle w:val="CellColumn"/>
              <w:jc w:val="right"/>
            </w:pPr>
            <w:r>
              <w:rPr>
                <w:rFonts w:cs="Times New Roman"/>
              </w:rPr>
              <w:t>8.957</w:t>
            </w:r>
          </w:p>
        </w:tc>
        <w:tc>
          <w:tcPr>
            <w:tcW w:w="2041" w:type="dxa"/>
          </w:tcPr>
          <w:p w:rsidR="00F244BA" w:rsidRDefault="00AC19E4">
            <w:pPr>
              <w:pStyle w:val="CellColumn"/>
              <w:jc w:val="right"/>
            </w:pPr>
            <w:r>
              <w:rPr>
                <w:rFonts w:cs="Times New Roman"/>
              </w:rPr>
              <w:t>5.391</w:t>
            </w:r>
          </w:p>
        </w:tc>
        <w:tc>
          <w:tcPr>
            <w:tcW w:w="1224" w:type="dxa"/>
          </w:tcPr>
          <w:p w:rsidR="00F244BA" w:rsidRDefault="00AC19E4">
            <w:pPr>
              <w:pStyle w:val="CellColumn"/>
              <w:jc w:val="right"/>
            </w:pPr>
            <w:r>
              <w:rPr>
                <w:rFonts w:cs="Times New Roman"/>
              </w:rPr>
              <w:t>60,2</w:t>
            </w:r>
          </w:p>
        </w:tc>
        <w:tc>
          <w:tcPr>
            <w:tcW w:w="1224" w:type="dxa"/>
          </w:tcPr>
          <w:p w:rsidR="00F244BA" w:rsidRDefault="00AC19E4">
            <w:pPr>
              <w:pStyle w:val="CellColumn"/>
              <w:jc w:val="right"/>
            </w:pPr>
            <w:r>
              <w:rPr>
                <w:rFonts w:cs="Times New Roman"/>
              </w:rPr>
              <w:t>37,5</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55.f i članak 55.h </w:t>
      </w:r>
    </w:p>
    <w:p w:rsidR="00F244BA" w:rsidRDefault="00AC19E4">
      <w:r>
        <w:t>- Plan intervencija kod iznenadnih onečišćenja mora, točke 36. i 102.</w:t>
      </w:r>
    </w:p>
    <w:p w:rsidR="00F244BA" w:rsidRDefault="00AC19E4">
      <w:pPr>
        <w:pStyle w:val="Naslov8"/>
        <w:jc w:val="left"/>
      </w:pPr>
      <w:r>
        <w:t>Opis aktivnosti</w:t>
      </w:r>
    </w:p>
    <w:p w:rsidR="00F244BA" w:rsidRDefault="00AC19E4">
      <w:r>
        <w:t xml:space="preserve">Projektom NAMIRS, koji je započeo 1. ožujka 2022. godine, a trajao do kraja veljače 2024. godine, poboljšala se prevencija i zaštita morskog okoliša od posljedica pomorskih nesreća u području Sjevernog Jadrana, te se ojačala regionalna suradnju i međusektorska koordinacija integrirajući znanje, alate te sredstva raspoloživa unutar partnerstva u reagiranjima.  </w:t>
      </w:r>
    </w:p>
    <w:p w:rsidR="00F244BA" w:rsidRDefault="00AC19E4">
      <w:r>
        <w:t xml:space="preserve">Ovim projektom, koji se sufinancirao u okviru Mehanizma Unije za civilnu zaštitu (UCPM) , izrađena je analiza konteksta te trenutnog stanja raspoloživih resursa i nacionalnih procedura u slučaju izlijevanja ulja na sjevernom Jadranu. Na osnovu rezultata analize, izrađen je prijedlog poboljšanja sustava zajedničke pripravnosti putem skupnog programa za osposobljavanje odabranog osoblja za reagiranje protiv onečišćenja morskog okoliša u slučaju izlijevanja ulja. U okviru projekta su izrađeni zajednički standardni operativni postupci koji su se testirati pri provedbi strukturirane vježbe na moru u Tršćanskom zaljevu. Ministarstvo mora, prometa i infrastrukture u projektu je sudjelovalo u svojstvu projektnog partnera. Ukupni prihvatljivi troškovi projekta iznose 950.397,54 €, od čega se 807.835 € odnosi na EU sufinanciranje.  </w:t>
      </w:r>
    </w:p>
    <w:p w:rsidR="00F244BA" w:rsidRDefault="00AC19E4">
      <w:r>
        <w:t>Sredstva planirana u 2024. godini utrošena su na plaće i doprinose članova projektnog tima, putovanja na sastanke upravljačkog odbora i završnu vježbu te završnu konferenciju projekta u Trstu. Do neizvršenja planiranih sredstava došlo je zbog nemogućnosti slanja brodova Uprave sigurnosti plovidbe na završnu vježbu. Isto tako, putovanje koje je bilo planirano za 20 osoba, otkazano je od većine osoba koje su bile pozvane. Projekt je završen 29. veljače 2024.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Podizanje razine sustava reagiranja na iznenadna onečišćenja mora s pomorskih objekata u sjevernom Jadranu</w:t>
            </w:r>
          </w:p>
        </w:tc>
        <w:tc>
          <w:tcPr>
            <w:tcW w:w="2551" w:type="dxa"/>
          </w:tcPr>
          <w:p w:rsidR="00F244BA" w:rsidRDefault="00AC19E4">
            <w:pPr>
              <w:pStyle w:val="CellColumn"/>
              <w:jc w:val="left"/>
            </w:pPr>
            <w:r>
              <w:rPr>
                <w:rFonts w:cs="Times New Roman"/>
              </w:rPr>
              <w:t>Primjereni odgovor na iznenadna onečišćenja odnosno učinkovito reagiranje po Planu intervencija kod iznenadnih onečišćenja mora i Subregionalnom planu intervencija za sprječavanje, spremnost za i reagiranje na iznenadna onečišćenja Jadranskog mora većih razmjera s pomorskih objekata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80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lastRenderedPageBreak/>
        <w:t>T820083 MEHANIZAM ZAŠTITE OSJETLJIVIH PODRUČJA JADRANA (ASAP)</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T820083-MEHANIZAM ZAŠTITE OSJETLJIVIH PODRUČJA JADRANA (ASAP)</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68.645</w:t>
            </w:r>
          </w:p>
        </w:tc>
        <w:tc>
          <w:tcPr>
            <w:tcW w:w="2041" w:type="dxa"/>
          </w:tcPr>
          <w:p w:rsidR="00F244BA" w:rsidRDefault="00AC19E4">
            <w:pPr>
              <w:pStyle w:val="CellColumn"/>
              <w:jc w:val="right"/>
            </w:pPr>
            <w:r>
              <w:rPr>
                <w:rFonts w:cs="Times New Roman"/>
              </w:rPr>
              <w:t>10.800</w:t>
            </w:r>
          </w:p>
        </w:tc>
        <w:tc>
          <w:tcPr>
            <w:tcW w:w="1224" w:type="dxa"/>
          </w:tcPr>
          <w:p w:rsidR="00F244BA" w:rsidRDefault="00AC19E4">
            <w:pPr>
              <w:pStyle w:val="CellColumn"/>
              <w:jc w:val="right"/>
            </w:pPr>
            <w:r>
              <w:rPr>
                <w:rFonts w:cs="Times New Roman"/>
              </w:rPr>
              <w:t>15,7</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55.f i članak 55.h </w:t>
      </w:r>
    </w:p>
    <w:p w:rsidR="00F244BA" w:rsidRDefault="00AC19E4">
      <w:r>
        <w:t>- Plan intervencija kod iznenadnih onečišćenja mora, točke 36. i 102.</w:t>
      </w:r>
    </w:p>
    <w:p w:rsidR="00F244BA" w:rsidRDefault="00AC19E4">
      <w:pPr>
        <w:pStyle w:val="Naslov8"/>
        <w:jc w:val="left"/>
      </w:pPr>
      <w:r>
        <w:t>Opis aktivnosti</w:t>
      </w:r>
    </w:p>
    <w:p w:rsidR="00F244BA" w:rsidRDefault="00AC19E4">
      <w:r>
        <w:t xml:space="preserve">Ministarstvo mora, prometa i infrastrukture, kao projektni partner, u suradnji s Central European Initiative, Italija, kao vodećim projektnim partnerom, te National Institute of Oceanography and Applied Geophysics – OGS, Italija, University of Ljubljana, Faculty of Maritime Studies of Portorož, Slovenija, Adriatic Training and Research Centre, Hrvatska, Republic of Slovenia, Ministry of Infrastructure, Slovenian Maritime Administration, Slovenija, Faculty of Traffic and Communications, University of Sarajevo, Bosna i Hercegovina, Ministry of Infrastructure and Energy of Albania, Albanija, te NGO Our Action, Crna Gora, kao projektnim partnerima, sudjelovalo je u pripremi projekta „Adriatic Sensitive Areas Protection – mechanism – ASAP“, koji je uspješno prijavljen na poziv Interreg IPA ADRION programa te odabran za EU sufinanciranje. Projekt je započeo 1. rujna 2024. godine, a trajat će ukupno 30 mjeseci. Ukupni proračun projekta iznosi 1.413.387,70 € (od čega EU sufinanciranje 85%; nacionalno sufinanciranje 15%). Ukupni proračun Ministarstva mora, prometa i infrastrukture kao projektnog partnera za provedbu ovog projekta iznosi 221.438,60 €, od kojeg se iznosa 188.222,81 € odnosi na EU sufinanciranje, dok se na nacionalno sufinanciranje odnosi 33.215,79 €. Projekt ASAP ima za cilj pružiti jadranskim zemljama koordinacijsku platformu za uspostavu mehanizma za provedbu prekograničnog odgovora u slučaju iznenadnih onečišćenja mora, a radi zaštite morskog okoliša, osjetljivih područja, zdravlja građana te zaštite gospodarskih djelatnosti koje su od vitalnog značaja za dobrobit u Jadranskom moru. U okviru projektnih aktivnosti, između ostalog, izradit će se i procjena rizika od nezgoda, detektirati osjetljiva područja, razviti Standardne operativne procedure (SOP) za provedbu žurnih intervencija kod iznenadnih onečišćenja mora, provesti specijalizirani treninzi osoblja koje sudjeluje u reagiranju kod iznenadna onečišćenja mora, a provedbom vježbi na obali i moru dodatno će se ojačati njihove kompetencije i sposobnosti u provedbi odgovora na iznenadna onečišćenja mora. U okviru projekta predviđeno je i potpisivanje Memoranduma o razumijevanju (MoU) za implementaciju ASAP okvira.  </w:t>
      </w:r>
    </w:p>
    <w:p w:rsidR="00F244BA" w:rsidRDefault="00AC19E4">
      <w:r>
        <w:t xml:space="preserve">Od početka provedbe projekta do kraja 2024. godine Ministarstvo mora, prometa i infrastrukture izvršilo je slijedeće aktivnosti: uspostavljen je projektni tim za provedbu projekta, potpisan je Partnerski ugovor za provedu projekta, a članovi projektnog tima sudjelovali su na Kick-off sastanku projekta održanom u Trstu 23. i 24. rujna 2024. te drugim virtualnim koordinacijskim sastancima i radionicama koje su organizirane za potrebe provedbe projekta. Izvršene su i odgovarajuće komunikacijske aktivnosti shodno pravilima programa, kako bi se osigurala vidljivost projekta. U pogledu ostalih tehničkih aktivnosti, Ministarstvo mora, prometa i infrastrukture kao voditelj WP2 radnog paketa pristupilo je izradi nacrta Zajedničke metodologije za provedbu WP2 (D.2.1.1) kao i pristupilo planiranju vježbe u Južnom Jadranu (D.2.4.2), koja će biti održana u listopadu 2025. godine. </w:t>
      </w:r>
    </w:p>
    <w:p w:rsidR="00F244BA" w:rsidRDefault="00AC19E4">
      <w:r>
        <w:t>Do odstupanja izvršenja u odnosu na planirano došlo je iz razloga što je Ugovor o sufinanciranju projekta potpisan kasnije nego je bilo očekivano, zbog čega su i projektne aktivnosti krenule kasnije u odnosu na plan.</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Podizanje razine sustava reagiranja na iznenadna onečišćenja mora s pomorskih objekata u sjevernom Jadranu</w:t>
            </w:r>
          </w:p>
        </w:tc>
        <w:tc>
          <w:tcPr>
            <w:tcW w:w="2551" w:type="dxa"/>
          </w:tcPr>
          <w:p w:rsidR="00F244BA" w:rsidRDefault="00AC19E4">
            <w:pPr>
              <w:pStyle w:val="CellColumn"/>
              <w:jc w:val="left"/>
            </w:pPr>
            <w:r>
              <w:rPr>
                <w:rFonts w:cs="Times New Roman"/>
              </w:rPr>
              <w:t>Primjereni odgovor na iznenadna onečišćenja odnosno učinkovito reagiranje po Planu intervencija kod iznenadnih onečišćenja mora i Subregionalnom planu intervencija za sprječavanje, spremnost za i reagiranje na iznenadna onečišćenja Jadranskog mora većih razmjera s pomorskih objekata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40</w:t>
            </w:r>
          </w:p>
        </w:tc>
        <w:tc>
          <w:tcPr>
            <w:tcW w:w="1020" w:type="dxa"/>
          </w:tcPr>
          <w:p w:rsidR="00F244BA" w:rsidRDefault="00AC19E4">
            <w:pPr>
              <w:pStyle w:val="CellColumn"/>
              <w:jc w:val="right"/>
            </w:pPr>
            <w:r>
              <w:rPr>
                <w:rFonts w:cs="Times New Roman"/>
              </w:rPr>
              <w:t>15</w:t>
            </w:r>
          </w:p>
        </w:tc>
      </w:tr>
    </w:tbl>
    <w:p w:rsidR="00F244BA" w:rsidRDefault="00F244BA">
      <w:pPr>
        <w:jc w:val="left"/>
      </w:pPr>
    </w:p>
    <w:p w:rsidR="00F244BA" w:rsidRDefault="00AC19E4">
      <w:pPr>
        <w:pStyle w:val="Naslov4"/>
      </w:pPr>
      <w:r>
        <w:t>T821075 INTERREG VB-ADRION-PROJEKT EUREKA-JADRANSKO-JONSKA MREŽA RAZVOJA I HARMONIZACIJE POMORSKE SIGURNOSTI</w:t>
      </w:r>
    </w:p>
    <w:tbl>
      <w:tblPr>
        <w:tblStyle w:val="StilTablice"/>
        <w:tblW w:w="10206" w:type="dxa"/>
        <w:jc w:val="center"/>
        <w:tblLook w:val="04A0" w:firstRow="1" w:lastRow="0" w:firstColumn="1" w:lastColumn="0" w:noHBand="0" w:noVBand="1"/>
      </w:tblPr>
      <w:tblGrid>
        <w:gridCol w:w="1738"/>
        <w:gridCol w:w="2011"/>
        <w:gridCol w:w="2009"/>
        <w:gridCol w:w="2011"/>
        <w:gridCol w:w="1217"/>
        <w:gridCol w:w="1220"/>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T821075-INTERREG VB-ADRION-PROJEKT EUREKA-JADRANSKO-JONSKA MREŽA RAZVOJA I HARMONIZACIJE POMORSKE SIGURNOSTI</w:t>
            </w:r>
          </w:p>
        </w:tc>
        <w:tc>
          <w:tcPr>
            <w:tcW w:w="2041" w:type="dxa"/>
          </w:tcPr>
          <w:p w:rsidR="00F244BA" w:rsidRDefault="00AC19E4">
            <w:pPr>
              <w:pStyle w:val="CellColumn"/>
              <w:jc w:val="right"/>
            </w:pPr>
            <w:r>
              <w:rPr>
                <w:rFonts w:cs="Times New Roman"/>
              </w:rPr>
              <w:t>782.200</w:t>
            </w:r>
          </w:p>
        </w:tc>
        <w:tc>
          <w:tcPr>
            <w:tcW w:w="2041" w:type="dxa"/>
          </w:tcPr>
          <w:p w:rsidR="00F244BA" w:rsidRDefault="00AC19E4">
            <w:pPr>
              <w:pStyle w:val="CellColumn"/>
              <w:jc w:val="right"/>
            </w:pPr>
            <w:r>
              <w:rPr>
                <w:rFonts w:cs="Times New Roman"/>
              </w:rPr>
              <w:t>616.596</w:t>
            </w:r>
          </w:p>
        </w:tc>
        <w:tc>
          <w:tcPr>
            <w:tcW w:w="2041" w:type="dxa"/>
          </w:tcPr>
          <w:p w:rsidR="00F244BA" w:rsidRDefault="00AC19E4">
            <w:pPr>
              <w:pStyle w:val="CellColumn"/>
              <w:jc w:val="right"/>
            </w:pPr>
            <w:r>
              <w:rPr>
                <w:rFonts w:cs="Times New Roman"/>
              </w:rPr>
              <w:t>616.594</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78,8</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Pomorski zakonik, članak 60. </w:t>
      </w:r>
    </w:p>
    <w:p w:rsidR="00F244BA" w:rsidRDefault="00AC19E4">
      <w:r>
        <w:t xml:space="preserve">- Direktiva 2002/59/EZ Europskog Parlamenta i Vijeća od 27. lipnja 2002. o uspostavi sustava nadzora plovidbe i informacijskog sustava Zajednice i stavljanju izvan snage Direktive Vijeća 93/75/EEZ, s izmjenama i dopunama </w:t>
      </w:r>
    </w:p>
    <w:p w:rsidR="00F244BA" w:rsidRDefault="00AC19E4">
      <w:r>
        <w:t xml:space="preserve">- Direktiva 2010/65/EU Europskog Parlamenta i Vijeća od 20. listopada 2010. o službenom postupku prijave za brodove koji dolaze u luke i/ili odlaze iz luka država članica i o stavljanju izvan snage Direktive 2002/6/EZ </w:t>
      </w:r>
    </w:p>
    <w:p w:rsidR="00F244BA" w:rsidRDefault="00AC19E4">
      <w:r>
        <w:t xml:space="preserve">- Uredba (EU) 2019/1239 Europskog parlamenta i Vijeća od 20. lipnja 2019. o uspostavi europskog okružja jedinstvenog pomorskog sučelja i stavljanju izvan snage Direktive 2010/65/EU </w:t>
      </w:r>
    </w:p>
    <w:p w:rsidR="00F244BA" w:rsidRDefault="00AC19E4">
      <w:r>
        <w:t xml:space="preserve">- IMO FAL Konvencija </w:t>
      </w:r>
    </w:p>
    <w:p w:rsidR="00F244BA" w:rsidRDefault="00AC19E4">
      <w:r>
        <w:t xml:space="preserve">- Subsidy Contract for the implementation of the Interreg V-B Adriatic Ionian ADRION1212 - Adriatic-Ionian joint approach for development and harmonisation of procedures and regulations in the field of navigation safety - EUREKA, i Amendment I istom </w:t>
      </w:r>
    </w:p>
    <w:p w:rsidR="00F244BA" w:rsidRDefault="00AC19E4">
      <w:r>
        <w:t>- Partnership Agreement for the implementation of the project ADRION1212 - Adriatic-Ionian joint approach for development and harmonisation of procedures and regulations in the field of navigation safety – EUREKA i Amendment I istom</w:t>
      </w:r>
    </w:p>
    <w:p w:rsidR="00F244BA" w:rsidRDefault="00AC19E4">
      <w:pPr>
        <w:pStyle w:val="Naslov8"/>
        <w:jc w:val="left"/>
      </w:pPr>
      <w:r>
        <w:t>Opis aktivnosti</w:t>
      </w:r>
    </w:p>
    <w:p w:rsidR="00F244BA" w:rsidRDefault="00AC19E4">
      <w:r>
        <w:t xml:space="preserve">Ministarstvo mora, prometa i infrastrukture u suradnji s pomorskim administracijama zemalja jadransko-jonske regije provodilo je projekt „Adriatic - Ionian Joint Approach for Development and Harmonisation of Procedures and Regulations in the Field of Navigation Safety - EUREKA“ koji je odobren za sufinanciranje iz okvira Interreg V-B Adriatic-Ionian ADRION programa. Projekt EUREKA usklađen je s mjerama EUSAIR Strategije i pripadajućeg </w:t>
      </w:r>
      <w:r>
        <w:lastRenderedPageBreak/>
        <w:t xml:space="preserve">Akcijskog plana, a njegov cilj je podizanje razine sigurnosti plovidbe i zaštite mora u jadransko - jonskoj regiji. Projekt EUREKA započeo je 1. prosinca 2020. godine, a završio je 30. rujna 2023. godine.  </w:t>
      </w:r>
    </w:p>
    <w:p w:rsidR="00F244BA" w:rsidRDefault="00AC19E4">
      <w:r>
        <w:t xml:space="preserve">Ministarstvo mora, prometa i infrastrukture bilo je vodeći projektni partner, a u njemu su sudjelovale pomorske administracije nadležne za sigurnost plovidbe jadransko - jonskih zemalja, i to: Italije, Slovenije, Grčke, Crne Gore i Albanije, te Pomorski fakultet u Rijeci i Univerzitet Crne Gore. Pridruženi projektni partner je bilo Ministarstvo komunikacija i prometa Bosne i Hercegovine.  </w:t>
      </w:r>
    </w:p>
    <w:p w:rsidR="00F244BA" w:rsidRDefault="00AC19E4">
      <w:r>
        <w:t xml:space="preserve">EUREKA predstavlja projekt od strateške važnosti za unaprjeđenje sigurnosti pomorskog prometa u području Jadransko-jonske regije, u okviru čije provedbe su uspješno izvršene sve ključne planirane projektne aktivnosti koje se odnose na osnivanje stalne transnacionalne mreže za sigurnost plovidbe, modernizaciju sustava obveznog javljanja brodova u Jadranskom moru ADRIREP s prijedlogom nove/izmijenjene rezolucije Međunarodnoj pomorskoj organizaciji (IMO) i novoga pojednostavnjenog tehnološkog rješenja izvješćivanja, razmjenu podataka o pomorskom prometu od značaja za sigurnost plovidbe između zemalja jadransko - jonskog područja i standardizaciju usluga sigurnosti plovidbe i VTS usluga u ovom morskom prostoru.  </w:t>
      </w:r>
    </w:p>
    <w:p w:rsidR="00F244BA" w:rsidRDefault="00AC19E4">
      <w:r>
        <w:t>Sredstva koja su na ovoj aktivnosti realizirana u 2024. godini odnosila su se isključivo na isplate prema projektnim partnerima, a koje je Ministarstvo mora, prometa i infrastrukture kao vodeći projektni partner po primitku obavijesti o konačnom zavaranju projekta od strane Interreg ADRION programa primilo u 2024. godini, nakon čega je i izvršilo isplate projektnim partnerima.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Podizanje razine sigurnosti pomorskog prometa i zaštite morskog okoliša u jadransko-jonskoj regiji</w:t>
            </w:r>
          </w:p>
        </w:tc>
        <w:tc>
          <w:tcPr>
            <w:tcW w:w="2551" w:type="dxa"/>
          </w:tcPr>
          <w:p w:rsidR="00F244BA" w:rsidRDefault="00AC19E4">
            <w:pPr>
              <w:pStyle w:val="CellColumn"/>
              <w:jc w:val="left"/>
            </w:pPr>
            <w:r>
              <w:rPr>
                <w:rFonts w:cs="Times New Roman"/>
              </w:rPr>
              <w:t>Modernizacija sustava obveznog javljanja brodova u Jadranskom moru ADRIREP, razmjena podataka o pomorskom prometu od značaja za sigurnost plovidbe između zemalja jadransko-jonskog područja i standardizacija usluga sigurnosti plovidbe na ovom morskom području.</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99</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3"/>
      </w:pPr>
      <w:r>
        <w:rPr>
          <w:rFonts w:cs="Times New Roman"/>
        </w:rPr>
        <w:t>3110 IZGRADNJA I ODRŽAVANJE CESTOVNE INFRASTRUKTURE</w:t>
      </w:r>
    </w:p>
    <w:tbl>
      <w:tblPr>
        <w:tblStyle w:val="StilTablice"/>
        <w:tblW w:w="10206" w:type="dxa"/>
        <w:jc w:val="center"/>
        <w:tblLook w:val="04A0" w:firstRow="1" w:lastRow="0" w:firstColumn="1" w:lastColumn="0" w:noHBand="0" w:noVBand="1"/>
      </w:tblPr>
      <w:tblGrid>
        <w:gridCol w:w="1893"/>
        <w:gridCol w:w="1966"/>
        <w:gridCol w:w="1966"/>
        <w:gridCol w:w="1966"/>
        <w:gridCol w:w="1203"/>
        <w:gridCol w:w="1212"/>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3110-IZGRADNJA I ODRŽAVANJE CESTOVNE INFRASTRUKTURE</w:t>
            </w:r>
          </w:p>
        </w:tc>
        <w:tc>
          <w:tcPr>
            <w:tcW w:w="2041" w:type="dxa"/>
          </w:tcPr>
          <w:p w:rsidR="00F244BA" w:rsidRDefault="00AC19E4">
            <w:pPr>
              <w:pStyle w:val="CellColumn"/>
              <w:jc w:val="right"/>
            </w:pPr>
            <w:r>
              <w:rPr>
                <w:rFonts w:cs="Times New Roman"/>
              </w:rPr>
              <w:t>452.110.792</w:t>
            </w:r>
          </w:p>
        </w:tc>
        <w:tc>
          <w:tcPr>
            <w:tcW w:w="2041" w:type="dxa"/>
          </w:tcPr>
          <w:p w:rsidR="00F244BA" w:rsidRDefault="00AC19E4">
            <w:pPr>
              <w:pStyle w:val="CellColumn"/>
              <w:jc w:val="right"/>
            </w:pPr>
            <w:r>
              <w:rPr>
                <w:rFonts w:cs="Times New Roman"/>
              </w:rPr>
              <w:t>462.107.965</w:t>
            </w:r>
          </w:p>
        </w:tc>
        <w:tc>
          <w:tcPr>
            <w:tcW w:w="2041" w:type="dxa"/>
          </w:tcPr>
          <w:p w:rsidR="00F244BA" w:rsidRDefault="00AC19E4">
            <w:pPr>
              <w:pStyle w:val="CellColumn"/>
              <w:jc w:val="right"/>
            </w:pPr>
            <w:r>
              <w:rPr>
                <w:rFonts w:cs="Times New Roman"/>
              </w:rPr>
              <w:t>459.460.001</w:t>
            </w:r>
          </w:p>
        </w:tc>
        <w:tc>
          <w:tcPr>
            <w:tcW w:w="1224" w:type="dxa"/>
          </w:tcPr>
          <w:p w:rsidR="00F244BA" w:rsidRDefault="00AC19E4">
            <w:pPr>
              <w:pStyle w:val="CellColumn"/>
              <w:jc w:val="right"/>
            </w:pPr>
            <w:r>
              <w:rPr>
                <w:rFonts w:cs="Times New Roman"/>
              </w:rPr>
              <w:t>99,4</w:t>
            </w:r>
          </w:p>
        </w:tc>
        <w:tc>
          <w:tcPr>
            <w:tcW w:w="1224" w:type="dxa"/>
          </w:tcPr>
          <w:p w:rsidR="00F244BA" w:rsidRDefault="00AC19E4">
            <w:pPr>
              <w:pStyle w:val="CellColumn"/>
              <w:jc w:val="right"/>
            </w:pPr>
            <w:r>
              <w:rPr>
                <w:rFonts w:cs="Times New Roman"/>
              </w:rPr>
              <w:t>101,6</w:t>
            </w:r>
          </w:p>
        </w:tc>
      </w:tr>
    </w:tbl>
    <w:p w:rsidR="00F244BA" w:rsidRDefault="00F244BA">
      <w:pPr>
        <w:jc w:val="left"/>
      </w:pPr>
    </w:p>
    <w:p w:rsidR="00F244BA" w:rsidRDefault="00AC19E4">
      <w:pPr>
        <w:pStyle w:val="Naslov8"/>
        <w:jc w:val="left"/>
      </w:pPr>
      <w:r>
        <w:t>Cilj 1. Razvijen sustav cestovnog prometa</w:t>
      </w:r>
    </w:p>
    <w:p w:rsidR="00F244BA" w:rsidRDefault="00AC19E4">
      <w:pPr>
        <w:pStyle w:val="Naslov8"/>
        <w:jc w:val="left"/>
      </w:pPr>
      <w:r>
        <w:t>Opis provedbe cilja programa</w:t>
      </w:r>
    </w:p>
    <w:p w:rsidR="00F244BA" w:rsidRDefault="00AC19E4">
      <w:r>
        <w:t xml:space="preserve">Programom se osigurava financiranje građenja i održavanja javnih cesta u Republici Hrvatskoj i to temeljem naknade koja se isplaćuje iz trošarine na energente upraviteljima Hrvatske ceste d.o.o. i Hrvatske autoceste d.o.o. te temeljem Ugovora o koncesiji s koncesionarima Autocesta Zagreb-Macelj d.o.o. i Bina Istra d.d..    </w:t>
      </w:r>
    </w:p>
    <w:p w:rsidR="00F244BA" w:rsidRDefault="00AC19E4">
      <w:r>
        <w:t xml:space="preserve">Izvori sredstava za financiranje javnih cesta su: godišnja naknada za uporabu javnih cesta, koja se plaća pri registraciji motornih i priključnih vozila, cestarina za uporabu autoceste i objekta s naplatom (most, tunel, vijadukt i slično), naknada za uporabu javnih cesta motornim i priključnim vozilima registriranim izvan Republike Hrvatske, naknada </w:t>
      </w:r>
      <w:r>
        <w:lastRenderedPageBreak/>
        <w:t xml:space="preserve">za izvanredni prijevoz, naknada za prekomjernu uporabu, korisnička naknada, naknada za korištenje cestovnog zemljišta, naknada za obavljanje pratećih djelatnosti, naknada za koncesije, sredstva državnog proračuna, naknada za financiranje građenja i održavanja javnih cesta, naknada za osnivanje prava služnosti i prava građenja na javnoj cesti i ostali izvori. </w:t>
      </w:r>
    </w:p>
    <w:p w:rsidR="00F244BA" w:rsidRDefault="00AC19E4">
      <w:r>
        <w:t xml:space="preserve">Koncesijskim ugovorom između Republike Hrvatske i društva Autocesta Zagreb-Macelj d.o.o., društvu se nadoknađuje plaćeni PDV-a na cestarinu na vozila za prolazak koncesijskim područjem, naknada u iznosu 56% do punog iznosa cestarine za I., II., III. i IV. skupinu vozila koja prometuju na dionici Mokrice-Krapina te Garancija za pad prometa tzv. TSCA doprinos, koji se izračunava kao manjak u odnosu na prognozu za godinu »n« (forecasting shortfall) + manjak za izjednačavanje za godinu »n-1« (balancing shortfall), a ta sredstva imaju tretman kredita te  ista, koncesijsko društvo Autocesta Zagreb-Macelj d.o.o., vraća na račun Državnog proračuna s kamatom od 6% godišnje, nakon što se ostvare ugovoreni uvjeti za povrat kredita.  </w:t>
      </w:r>
    </w:p>
    <w:p w:rsidR="00F244BA" w:rsidRDefault="00AC19E4">
      <w:r>
        <w:t xml:space="preserve">Koncesijskim ugovorom između Republike Hrvatske i društva Bina Istra d.d., društvu se nadoknađuje financijski doprinos koji predstavlja razliku između predviđenih prihoda od cestarine i troškova definiranih Ugovorom o koncesiji. </w:t>
      </w:r>
    </w:p>
    <w:p w:rsidR="00F244BA" w:rsidRDefault="00AC19E4">
      <w:r>
        <w:t>Programom se osigurava i ostvarivanje prava na mobilnost i jednaku dostupnost sredstava prijevoza u cestovnom prometu osobama s invaliditetom, propisanih člankom 7. Zakona o povlasticama u prometu. Osobe s invaliditetom koje imaju određeni stupanj tjelesnog oštećenja, ostvaruju pravo na oslobađanje plaćanja godišnje naknade za uporabu javnih cesta koja se plaća pri registraciji osobnog automobila i/ili pravo na oslobađanje plaćanja cestarine za uporabu autocesta i objekata s naplatom (most, tunel, vijadukt i sl.).</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Smanjenje udjela cesta s lošim i vrlo lošim stanjem kolnika</w:t>
            </w:r>
          </w:p>
        </w:tc>
        <w:tc>
          <w:tcPr>
            <w:tcW w:w="2551" w:type="dxa"/>
          </w:tcPr>
          <w:p w:rsidR="00F244BA" w:rsidRDefault="00AC19E4">
            <w:pPr>
              <w:pStyle w:val="CellColumn"/>
              <w:jc w:val="left"/>
            </w:pPr>
            <w:r>
              <w:rPr>
                <w:rFonts w:cs="Times New Roman"/>
              </w:rPr>
              <w:t>Smanjenjem udjela cesta s lošim i vrlo lošim stanjem kolnika povećava se sigurnost i kvaliteta u odvijanju cestovnog prometa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27</w:t>
            </w:r>
          </w:p>
        </w:tc>
        <w:tc>
          <w:tcPr>
            <w:tcW w:w="1020" w:type="dxa"/>
          </w:tcPr>
          <w:p w:rsidR="00F244BA" w:rsidRDefault="00AC19E4">
            <w:pPr>
              <w:pStyle w:val="CellColumn"/>
              <w:jc w:val="right"/>
            </w:pPr>
            <w:r>
              <w:rPr>
                <w:rFonts w:cs="Times New Roman"/>
              </w:rPr>
              <w:t>Hrvatske ceste d.o.o.</w:t>
            </w:r>
          </w:p>
        </w:tc>
        <w:tc>
          <w:tcPr>
            <w:tcW w:w="1020" w:type="dxa"/>
          </w:tcPr>
          <w:p w:rsidR="00F244BA" w:rsidRDefault="00AC19E4">
            <w:pPr>
              <w:pStyle w:val="CellColumn"/>
              <w:jc w:val="right"/>
            </w:pPr>
            <w:r>
              <w:rPr>
                <w:rFonts w:cs="Times New Roman"/>
              </w:rPr>
              <w:t>27</w:t>
            </w:r>
          </w:p>
        </w:tc>
        <w:tc>
          <w:tcPr>
            <w:tcW w:w="1020" w:type="dxa"/>
          </w:tcPr>
          <w:p w:rsidR="00F244BA" w:rsidRDefault="00AC19E4">
            <w:pPr>
              <w:pStyle w:val="CellColumn"/>
              <w:jc w:val="right"/>
            </w:pPr>
            <w:r>
              <w:rPr>
                <w:rFonts w:cs="Times New Roman"/>
              </w:rPr>
              <w:t>27</w:t>
            </w:r>
          </w:p>
        </w:tc>
      </w:tr>
    </w:tbl>
    <w:p w:rsidR="00F244BA" w:rsidRDefault="00F244BA">
      <w:pPr>
        <w:jc w:val="left"/>
      </w:pPr>
    </w:p>
    <w:p w:rsidR="00F244BA" w:rsidRDefault="00AC19E4">
      <w:pPr>
        <w:pStyle w:val="Naslov4"/>
      </w:pPr>
      <w:r>
        <w:t>A570504 NAKNADA U CIJENI GORIVA ZA HAC D.O.O.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A570504-NAKNADA U CIJENI GORIVA ZA HAC D.O.O.</w:t>
            </w:r>
          </w:p>
        </w:tc>
        <w:tc>
          <w:tcPr>
            <w:tcW w:w="2041" w:type="dxa"/>
          </w:tcPr>
          <w:p w:rsidR="00F244BA" w:rsidRDefault="00AC19E4">
            <w:pPr>
              <w:pStyle w:val="CellColumn"/>
              <w:jc w:val="right"/>
            </w:pPr>
            <w:r>
              <w:rPr>
                <w:rFonts w:cs="Times New Roman"/>
              </w:rPr>
              <w:t>54.212.866</w:t>
            </w:r>
          </w:p>
        </w:tc>
        <w:tc>
          <w:tcPr>
            <w:tcW w:w="2041" w:type="dxa"/>
          </w:tcPr>
          <w:p w:rsidR="00F244BA" w:rsidRDefault="00AC19E4">
            <w:pPr>
              <w:pStyle w:val="CellColumn"/>
              <w:jc w:val="right"/>
            </w:pPr>
            <w:r>
              <w:rPr>
                <w:rFonts w:cs="Times New Roman"/>
              </w:rPr>
              <w:t>56.000.000</w:t>
            </w:r>
          </w:p>
        </w:tc>
        <w:tc>
          <w:tcPr>
            <w:tcW w:w="2041" w:type="dxa"/>
          </w:tcPr>
          <w:p w:rsidR="00F244BA" w:rsidRDefault="00AC19E4">
            <w:pPr>
              <w:pStyle w:val="CellColumn"/>
              <w:jc w:val="right"/>
            </w:pPr>
            <w:r>
              <w:rPr>
                <w:rFonts w:cs="Times New Roman"/>
              </w:rPr>
              <w:t>56.000.000</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103,3</w:t>
            </w:r>
          </w:p>
        </w:tc>
      </w:tr>
    </w:tbl>
    <w:p w:rsidR="00F244BA" w:rsidRDefault="00F244BA">
      <w:pPr>
        <w:jc w:val="left"/>
      </w:pPr>
    </w:p>
    <w:p w:rsidR="00F244BA" w:rsidRDefault="00AC19E4">
      <w:pPr>
        <w:pStyle w:val="Naslov8"/>
        <w:jc w:val="left"/>
      </w:pPr>
      <w:r>
        <w:t>Zakonske i druge pravne osnove</w:t>
      </w:r>
    </w:p>
    <w:p w:rsidR="00F244BA" w:rsidRDefault="00AC19E4">
      <w:r>
        <w:t>- Zakon o cestama, članak 91.</w:t>
      </w:r>
    </w:p>
    <w:p w:rsidR="00F244BA" w:rsidRDefault="00AC19E4">
      <w:pPr>
        <w:pStyle w:val="Naslov8"/>
        <w:jc w:val="left"/>
      </w:pPr>
      <w:r>
        <w:t>Opis aktivnosti</w:t>
      </w:r>
    </w:p>
    <w:p w:rsidR="00F244BA" w:rsidRDefault="00AC19E4">
      <w:r>
        <w:t xml:space="preserve">Sredstva su utrošena za:  </w:t>
      </w:r>
    </w:p>
    <w:p w:rsidR="00F244BA" w:rsidRDefault="00AC19E4">
      <w:r>
        <w:t>-</w:t>
      </w:r>
      <w:r>
        <w:tab/>
        <w:t xml:space="preserve">dio investicija u izgradnju autocesta u iznosu od 10.001.869,92 € </w:t>
      </w:r>
    </w:p>
    <w:p w:rsidR="00F244BA" w:rsidRDefault="00AC19E4">
      <w:r>
        <w:t>-</w:t>
      </w:r>
      <w:r>
        <w:tab/>
        <w:t xml:space="preserve">dio investicija u izvanredno održavanje autocesta u iznosu od 25.102.598,19€ </w:t>
      </w:r>
    </w:p>
    <w:p w:rsidR="00F244BA" w:rsidRDefault="00AC19E4">
      <w:r>
        <w:t>-</w:t>
      </w:r>
      <w:r>
        <w:tab/>
        <w:t xml:space="preserve">otkup zemljišta u iznosu od 6.128.631,25 € </w:t>
      </w:r>
    </w:p>
    <w:p w:rsidR="00F244BA" w:rsidRDefault="00AC19E4">
      <w:r>
        <w:t>-</w:t>
      </w:r>
      <w:r>
        <w:tab/>
        <w:t xml:space="preserve">dio otplata glavnica kredita u iznosu od 14.766.900,64 €. </w:t>
      </w:r>
    </w:p>
    <w:p w:rsidR="00F244BA" w:rsidRDefault="00AC19E4">
      <w:r>
        <w:t xml:space="preserve"> </w:t>
      </w:r>
    </w:p>
    <w:p w:rsidR="00F244BA" w:rsidRDefault="00AC19E4">
      <w:r>
        <w:lastRenderedPageBreak/>
        <w:t xml:space="preserve">U listopadu 2024. godine u promet je puštena dionica Lekenik - Sisak na autocesti A11 duljine 11 kilometara. Na autocesti A11 potrebno je još izgraditi spoj na Sarajevsku ulicu s novim ulaskom u grad Zagreb, u duljini od jednog kilometra u sklopu čega je i izgradnja vijadukta Ranžirni kolodvor. Ovaj projekt strateški je prometni interes povezivanja autoceste A11 Zagreb - Sisak s mrežom gradskih prometnica grada Zagreba. U 2024. godini u promet je pušten i novoizgrađeni čvor Podi na autocesti A1 između čvorova Šibenik i Vrpolje (izgradnja čvora ne povećava duljinu mreže autocesta).  </w:t>
      </w:r>
    </w:p>
    <w:p w:rsidR="00F244BA" w:rsidRDefault="00AC19E4">
      <w:r>
        <w:t>Broj kilometara investicijskog održavanja autocesta u nadležnosti HAC-a, odnosno unapređenja stanja kolnika u planu za 2024. godinu iznosio je 58 km, radovi se se odvijali planiranom dinamikom te je kolnička konstrukcija obnovljena u ukupnoj dužini od 59 km na autocestama A3 (45,5 km) i A4 (13,5 km).</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kilometara novoizgrađenih autocesta i državnih cesta u nadležnosti HAC-a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Ministarstvo uplaćuje sredstva HAC-u temeljem Zakona o cestama te su sredstva namijenjena za izgradnju autocesta i državnih cesta</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 xml:space="preserve">Upravitelj autocesta    </w:t>
            </w:r>
          </w:p>
          <w:p w:rsidR="00F244BA" w:rsidRDefault="00AC19E4">
            <w:pPr>
              <w:pStyle w:val="CellColumn"/>
              <w:jc w:val="right"/>
            </w:pPr>
            <w:r>
              <w:rPr>
                <w:rFonts w:cs="Times New Roman"/>
              </w:rPr>
              <w:t>(HAC)</w:t>
            </w:r>
          </w:p>
        </w:tc>
        <w:tc>
          <w:tcPr>
            <w:tcW w:w="1020" w:type="dxa"/>
          </w:tcPr>
          <w:p w:rsidR="00F244BA" w:rsidRDefault="00AC19E4">
            <w:pPr>
              <w:pStyle w:val="CellColumn"/>
              <w:jc w:val="right"/>
            </w:pPr>
            <w:r>
              <w:rPr>
                <w:rFonts w:cs="Times New Roman"/>
              </w:rPr>
              <w:t>11</w:t>
            </w:r>
          </w:p>
        </w:tc>
        <w:tc>
          <w:tcPr>
            <w:tcW w:w="1020" w:type="dxa"/>
          </w:tcPr>
          <w:p w:rsidR="00F244BA" w:rsidRDefault="00AC19E4">
            <w:pPr>
              <w:pStyle w:val="CellColumn"/>
              <w:jc w:val="right"/>
            </w:pPr>
            <w:r>
              <w:rPr>
                <w:rFonts w:cs="Times New Roman"/>
              </w:rPr>
              <w:t>11</w:t>
            </w:r>
          </w:p>
        </w:tc>
      </w:tr>
      <w:tr w:rsidR="00F244BA">
        <w:trPr>
          <w:jc w:val="center"/>
        </w:trPr>
        <w:tc>
          <w:tcPr>
            <w:tcW w:w="2551" w:type="dxa"/>
          </w:tcPr>
          <w:p w:rsidR="00F244BA" w:rsidRDefault="00AC19E4">
            <w:pPr>
              <w:pStyle w:val="CellColumn"/>
              <w:jc w:val="left"/>
            </w:pPr>
            <w:r>
              <w:rPr>
                <w:rFonts w:cs="Times New Roman"/>
              </w:rPr>
              <w:t xml:space="preserve">Broj kilometara investicijski održavanih autocesta u nadležnosti HAC-a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Ministarstvo uplaćuje sredstva HAC-u temeljem Zakona o cestama te su sredstva namijenjena za održavanje autocesta</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37</w:t>
            </w:r>
          </w:p>
        </w:tc>
        <w:tc>
          <w:tcPr>
            <w:tcW w:w="1020" w:type="dxa"/>
          </w:tcPr>
          <w:p w:rsidR="00F244BA" w:rsidRDefault="00AC19E4">
            <w:pPr>
              <w:pStyle w:val="CellColumn"/>
              <w:jc w:val="right"/>
            </w:pPr>
            <w:r>
              <w:rPr>
                <w:rFonts w:cs="Times New Roman"/>
              </w:rPr>
              <w:t xml:space="preserve">Upravitelj autocesta   </w:t>
            </w:r>
          </w:p>
          <w:p w:rsidR="00F244BA" w:rsidRDefault="00AC19E4">
            <w:pPr>
              <w:pStyle w:val="CellColumn"/>
              <w:jc w:val="right"/>
            </w:pPr>
            <w:r>
              <w:rPr>
                <w:rFonts w:cs="Times New Roman"/>
              </w:rPr>
              <w:t>(HAC)</w:t>
            </w:r>
          </w:p>
        </w:tc>
        <w:tc>
          <w:tcPr>
            <w:tcW w:w="1020" w:type="dxa"/>
          </w:tcPr>
          <w:p w:rsidR="00F244BA" w:rsidRDefault="00AC19E4">
            <w:pPr>
              <w:pStyle w:val="CellColumn"/>
              <w:jc w:val="right"/>
            </w:pPr>
            <w:r>
              <w:rPr>
                <w:rFonts w:cs="Times New Roman"/>
              </w:rPr>
              <w:t>58</w:t>
            </w:r>
          </w:p>
        </w:tc>
        <w:tc>
          <w:tcPr>
            <w:tcW w:w="1020" w:type="dxa"/>
          </w:tcPr>
          <w:p w:rsidR="00F244BA" w:rsidRDefault="00AC19E4">
            <w:pPr>
              <w:pStyle w:val="CellColumn"/>
              <w:jc w:val="right"/>
            </w:pPr>
            <w:r>
              <w:rPr>
                <w:rFonts w:cs="Times New Roman"/>
              </w:rPr>
              <w:t>59</w:t>
            </w:r>
          </w:p>
        </w:tc>
      </w:tr>
    </w:tbl>
    <w:p w:rsidR="00F244BA" w:rsidRDefault="00F244BA">
      <w:pPr>
        <w:jc w:val="left"/>
      </w:pPr>
    </w:p>
    <w:p w:rsidR="00F244BA" w:rsidRDefault="00AC19E4">
      <w:pPr>
        <w:pStyle w:val="Naslov4"/>
      </w:pPr>
      <w:r>
        <w:t>A570506 NAKNADA U CIJENI GORIVA ZA HC D.O.O.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A570506-NAKNADA U CIJENI GORIVA ZA HC D.O.O.</w:t>
            </w:r>
          </w:p>
        </w:tc>
        <w:tc>
          <w:tcPr>
            <w:tcW w:w="2041" w:type="dxa"/>
          </w:tcPr>
          <w:p w:rsidR="00F244BA" w:rsidRDefault="00AC19E4">
            <w:pPr>
              <w:pStyle w:val="CellColumn"/>
              <w:jc w:val="right"/>
            </w:pPr>
            <w:r>
              <w:rPr>
                <w:rFonts w:cs="Times New Roman"/>
              </w:rPr>
              <w:t>318.121.176</w:t>
            </w:r>
          </w:p>
        </w:tc>
        <w:tc>
          <w:tcPr>
            <w:tcW w:w="2041" w:type="dxa"/>
          </w:tcPr>
          <w:p w:rsidR="00F244BA" w:rsidRDefault="00AC19E4">
            <w:pPr>
              <w:pStyle w:val="CellColumn"/>
              <w:jc w:val="right"/>
            </w:pPr>
            <w:r>
              <w:rPr>
                <w:rFonts w:cs="Times New Roman"/>
              </w:rPr>
              <w:t>318.121.176</w:t>
            </w:r>
          </w:p>
        </w:tc>
        <w:tc>
          <w:tcPr>
            <w:tcW w:w="2041" w:type="dxa"/>
          </w:tcPr>
          <w:p w:rsidR="00F244BA" w:rsidRDefault="00AC19E4">
            <w:pPr>
              <w:pStyle w:val="CellColumn"/>
              <w:jc w:val="right"/>
            </w:pPr>
            <w:r>
              <w:rPr>
                <w:rFonts w:cs="Times New Roman"/>
              </w:rPr>
              <w:t>318.121.176</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100,0</w:t>
            </w:r>
          </w:p>
        </w:tc>
      </w:tr>
    </w:tbl>
    <w:p w:rsidR="00F244BA" w:rsidRDefault="00F244BA">
      <w:pPr>
        <w:jc w:val="left"/>
      </w:pPr>
    </w:p>
    <w:p w:rsidR="00F244BA" w:rsidRDefault="00AC19E4">
      <w:pPr>
        <w:pStyle w:val="Naslov8"/>
        <w:jc w:val="left"/>
      </w:pPr>
      <w:r>
        <w:t>Zakonske i druge pravne osnove</w:t>
      </w:r>
    </w:p>
    <w:p w:rsidR="00F244BA" w:rsidRDefault="00AC19E4">
      <w:r>
        <w:t>- Zakon o cestama, članak 91.</w:t>
      </w:r>
    </w:p>
    <w:p w:rsidR="00F244BA" w:rsidRDefault="00AC19E4">
      <w:pPr>
        <w:pStyle w:val="Naslov8"/>
        <w:jc w:val="left"/>
      </w:pPr>
      <w:r>
        <w:t>Opis aktivnosti</w:t>
      </w:r>
    </w:p>
    <w:p w:rsidR="00F244BA" w:rsidRDefault="00AC19E4">
      <w:r>
        <w:t xml:space="preserve">Sukladno odredbama Zakona o cestama, na ime naknade u cijeni goriva u 2024. godini, društvu Hrvatske ceste d.o.o. su doznačena sredstva u ukupnom iznosu od 318.121.176 €. Od ukupno doznačenih sredstava, ovisno o namjeni, sredstva su utrošena za: </w:t>
      </w:r>
    </w:p>
    <w:p w:rsidR="00F244BA" w:rsidRDefault="00AC19E4">
      <w:r>
        <w:t xml:space="preserve">Investicijske aktivnosti u iznosu od 93,51 milijuna €, od čega je za: </w:t>
      </w:r>
    </w:p>
    <w:p w:rsidR="00F244BA" w:rsidRDefault="00AC19E4">
      <w:r>
        <w:t>-</w:t>
      </w:r>
      <w:r>
        <w:tab/>
        <w:t xml:space="preserve">investicije u izgradnju državnih cesta utrošeno 39,20 milijuna € </w:t>
      </w:r>
    </w:p>
    <w:p w:rsidR="00F244BA" w:rsidRDefault="00AC19E4">
      <w:r>
        <w:t>-</w:t>
      </w:r>
      <w:r>
        <w:tab/>
        <w:t xml:space="preserve">investicijsko održavanje i rekonstrukciju državnih cesta utrošeno 46,11 milijuna € </w:t>
      </w:r>
    </w:p>
    <w:p w:rsidR="00F244BA" w:rsidRDefault="00AC19E4">
      <w:r>
        <w:t>-</w:t>
      </w:r>
      <w:r>
        <w:tab/>
        <w:t xml:space="preserve">nabavu ostale dugotrajne imovine utrošeno 8,20 milijuna €. </w:t>
      </w:r>
    </w:p>
    <w:p w:rsidR="00F244BA" w:rsidRDefault="00AC19E4">
      <w:r>
        <w:t xml:space="preserve">Od investicijskih ulaganja u iznosu od 224,61 milijuna € doznačena sredstva su utrošena za: </w:t>
      </w:r>
    </w:p>
    <w:p w:rsidR="00F244BA" w:rsidRDefault="00AC19E4">
      <w:r>
        <w:t>-</w:t>
      </w:r>
      <w:r>
        <w:tab/>
        <w:t xml:space="preserve">redovito održavanje državnih cesta utrošeno je 98,78 milijuna € </w:t>
      </w:r>
    </w:p>
    <w:p w:rsidR="00F244BA" w:rsidRDefault="00AC19E4">
      <w:r>
        <w:t>-</w:t>
      </w:r>
      <w:r>
        <w:tab/>
        <w:t xml:space="preserve">izvanredno održavanje državnih cesta utrošeno je 8,08 milijuna € </w:t>
      </w:r>
    </w:p>
    <w:p w:rsidR="00F244BA" w:rsidRDefault="00AC19E4">
      <w:r>
        <w:lastRenderedPageBreak/>
        <w:t>-</w:t>
      </w:r>
      <w:r>
        <w:tab/>
        <w:t xml:space="preserve">sufinanciranje zimske službe na nerazvrstanim cestama utrošeno je 1,04 milijuna € </w:t>
      </w:r>
    </w:p>
    <w:p w:rsidR="00F244BA" w:rsidRDefault="00AC19E4">
      <w:r>
        <w:t>-</w:t>
      </w:r>
      <w:r>
        <w:tab/>
        <w:t xml:space="preserve">studije i razvojne pripreme utrošeno je 0,52 milijuna € </w:t>
      </w:r>
    </w:p>
    <w:p w:rsidR="00F244BA" w:rsidRDefault="00AC19E4">
      <w:r>
        <w:t>-</w:t>
      </w:r>
      <w:r>
        <w:tab/>
        <w:t xml:space="preserve">troškove upravljanja utrošeno je 36,99 milijuna € </w:t>
      </w:r>
    </w:p>
    <w:p w:rsidR="00F244BA" w:rsidRDefault="00AC19E4">
      <w:r>
        <w:t>-</w:t>
      </w:r>
      <w:r>
        <w:tab/>
        <w:t xml:space="preserve">financijske troškove utrošeno je 57,14 milijuna € </w:t>
      </w:r>
    </w:p>
    <w:p w:rsidR="00F244BA" w:rsidRDefault="00AC19E4">
      <w:r>
        <w:t>-</w:t>
      </w:r>
      <w:r>
        <w:tab/>
        <w:t xml:space="preserve">otplate glavnica dospjelih kredita utrošeno je 22,06 milijuna €. </w:t>
      </w:r>
    </w:p>
    <w:p w:rsidR="00F244BA" w:rsidRDefault="00AC19E4">
      <w:r>
        <w:t>U 2024. godini izvršenje programa Hrvatskih cesta »Ulaganja u državne ceste« iznosi 253,32 milijuna €. U promet je pušteno 2,6 kilometara novoizgrađenih državnih cesta, dok je 106,6 kilometara državnih cesta rekonstruirano i investicijski održavano, čime je premašena planirana realizacija u tom segmentu. Odstupanje u realizaciji investicija u izgradnju rezultat je produljenja ugovornih rokova izvođenja radova na pet projekata, što je prvenstveno uzrokovano potrebom prilagodbe projektnog rješenja u suradnji s ostalim dionicima, imovinsko-pravnim pitanjima, usklađivanjem građevinskih radova s postojećom infrastrukturom, kao i izazovima u građevinskom sektoru vezanima uz raspoloživost radne snage i resursa. Nepovoljni vremenski i hidrološki uvjeti u pojedinim razdobljima također su utjecali na dinamiku izvođenja radova. Završeni projekti novoizgrađenih cesta pušteni u promet su: Izgradnja obilaznice Buzeta duljine 1,2 km, Izgradnja spojne ceste čvor Sisak-Sisak i projekt obnove DC8 u Vodicama.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kilometara novoizgrađenih državnih cesta puštenih u promet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Ministarstvo uplaćuje sredstva HC-u temeljem Zakona o cestama te su sredstva namijenjena za izgradnju državnih cesta</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Hrvatske ceste d.o.o.</w:t>
            </w:r>
          </w:p>
        </w:tc>
        <w:tc>
          <w:tcPr>
            <w:tcW w:w="1020" w:type="dxa"/>
          </w:tcPr>
          <w:p w:rsidR="00F244BA" w:rsidRDefault="00AC19E4">
            <w:pPr>
              <w:pStyle w:val="CellColumn"/>
              <w:jc w:val="right"/>
            </w:pPr>
            <w:r>
              <w:rPr>
                <w:rFonts w:cs="Times New Roman"/>
              </w:rPr>
              <w:t>13,28</w:t>
            </w:r>
          </w:p>
        </w:tc>
        <w:tc>
          <w:tcPr>
            <w:tcW w:w="1020" w:type="dxa"/>
          </w:tcPr>
          <w:p w:rsidR="00F244BA" w:rsidRDefault="00AC19E4">
            <w:pPr>
              <w:pStyle w:val="CellColumn"/>
              <w:jc w:val="right"/>
            </w:pPr>
            <w:r>
              <w:rPr>
                <w:rFonts w:cs="Times New Roman"/>
              </w:rPr>
              <w:t>2,6</w:t>
            </w:r>
          </w:p>
        </w:tc>
      </w:tr>
      <w:tr w:rsidR="00F244BA">
        <w:trPr>
          <w:jc w:val="center"/>
        </w:trPr>
        <w:tc>
          <w:tcPr>
            <w:tcW w:w="2551" w:type="dxa"/>
          </w:tcPr>
          <w:p w:rsidR="00F244BA" w:rsidRDefault="00AC19E4">
            <w:pPr>
              <w:pStyle w:val="CellColumn"/>
              <w:jc w:val="left"/>
            </w:pPr>
            <w:r>
              <w:rPr>
                <w:rFonts w:cs="Times New Roman"/>
              </w:rPr>
              <w:t xml:space="preserve">Broj kilometara rekonstrukcije i investicijski održavanih državnih cesta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Ministarstvo uplaćuje sredstva HC-u temeljem Zakona o cestama te su sredstva namijenjena za održavanje državnih cesta</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Hrvatske ceste d.o.o.</w:t>
            </w:r>
          </w:p>
        </w:tc>
        <w:tc>
          <w:tcPr>
            <w:tcW w:w="1020" w:type="dxa"/>
          </w:tcPr>
          <w:p w:rsidR="00F244BA" w:rsidRDefault="00AC19E4">
            <w:pPr>
              <w:pStyle w:val="CellColumn"/>
              <w:jc w:val="right"/>
            </w:pPr>
            <w:r>
              <w:rPr>
                <w:rFonts w:cs="Times New Roman"/>
              </w:rPr>
              <w:t>90,00</w:t>
            </w:r>
          </w:p>
        </w:tc>
        <w:tc>
          <w:tcPr>
            <w:tcW w:w="1020" w:type="dxa"/>
          </w:tcPr>
          <w:p w:rsidR="00F244BA" w:rsidRDefault="00AC19E4">
            <w:pPr>
              <w:pStyle w:val="CellColumn"/>
              <w:jc w:val="right"/>
            </w:pPr>
            <w:r>
              <w:rPr>
                <w:rFonts w:cs="Times New Roman"/>
              </w:rPr>
              <w:t>106,6</w:t>
            </w:r>
          </w:p>
        </w:tc>
      </w:tr>
    </w:tbl>
    <w:p w:rsidR="00F244BA" w:rsidRDefault="00F244BA">
      <w:pPr>
        <w:jc w:val="left"/>
      </w:pPr>
    </w:p>
    <w:p w:rsidR="00F244BA" w:rsidRDefault="00AC19E4">
      <w:pPr>
        <w:pStyle w:val="Naslov4"/>
      </w:pPr>
      <w:r>
        <w:t>A587081 SURADNJA S MEĐUNARODNIM ORGANIZACIJAMA I PLANIRANJE RAZVOJA CESTOVNE INFRASTRUKTURE</w:t>
      </w:r>
    </w:p>
    <w:tbl>
      <w:tblPr>
        <w:tblStyle w:val="StilTablice"/>
        <w:tblW w:w="10206" w:type="dxa"/>
        <w:jc w:val="center"/>
        <w:tblLook w:val="04A0" w:firstRow="1" w:lastRow="0" w:firstColumn="1" w:lastColumn="0" w:noHBand="0" w:noVBand="1"/>
      </w:tblPr>
      <w:tblGrid>
        <w:gridCol w:w="1904"/>
        <w:gridCol w:w="1961"/>
        <w:gridCol w:w="1961"/>
        <w:gridCol w:w="1961"/>
        <w:gridCol w:w="1206"/>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A587081-SURADNJA S MEĐUNARODNIM ORGANIZACIJAMA I PLANIRANJE RAZVOJA CESTOVNE INFRASTRUKTURE</w:t>
            </w:r>
          </w:p>
        </w:tc>
        <w:tc>
          <w:tcPr>
            <w:tcW w:w="2041" w:type="dxa"/>
          </w:tcPr>
          <w:p w:rsidR="00F244BA" w:rsidRDefault="00AC19E4">
            <w:pPr>
              <w:pStyle w:val="CellColumn"/>
              <w:jc w:val="right"/>
            </w:pPr>
            <w:r>
              <w:rPr>
                <w:rFonts w:cs="Times New Roman"/>
              </w:rPr>
              <w:t>1.415.699</w:t>
            </w:r>
          </w:p>
        </w:tc>
        <w:tc>
          <w:tcPr>
            <w:tcW w:w="2041" w:type="dxa"/>
          </w:tcPr>
          <w:p w:rsidR="00F244BA" w:rsidRDefault="00AC19E4">
            <w:pPr>
              <w:pStyle w:val="CellColumn"/>
              <w:jc w:val="right"/>
            </w:pPr>
            <w:r>
              <w:rPr>
                <w:rFonts w:cs="Times New Roman"/>
              </w:rPr>
              <w:t>1.600.870</w:t>
            </w:r>
          </w:p>
        </w:tc>
        <w:tc>
          <w:tcPr>
            <w:tcW w:w="2041" w:type="dxa"/>
          </w:tcPr>
          <w:p w:rsidR="00F244BA" w:rsidRDefault="00AC19E4">
            <w:pPr>
              <w:pStyle w:val="CellColumn"/>
              <w:jc w:val="right"/>
            </w:pPr>
            <w:r>
              <w:rPr>
                <w:rFonts w:cs="Times New Roman"/>
              </w:rPr>
              <w:t>1.681.720</w:t>
            </w:r>
          </w:p>
        </w:tc>
        <w:tc>
          <w:tcPr>
            <w:tcW w:w="1224" w:type="dxa"/>
          </w:tcPr>
          <w:p w:rsidR="00F244BA" w:rsidRDefault="00AC19E4">
            <w:pPr>
              <w:pStyle w:val="CellColumn"/>
              <w:jc w:val="right"/>
            </w:pPr>
            <w:r>
              <w:rPr>
                <w:rFonts w:cs="Times New Roman"/>
              </w:rPr>
              <w:t>105,1</w:t>
            </w:r>
          </w:p>
        </w:tc>
        <w:tc>
          <w:tcPr>
            <w:tcW w:w="1224" w:type="dxa"/>
          </w:tcPr>
          <w:p w:rsidR="00F244BA" w:rsidRDefault="00AC19E4">
            <w:pPr>
              <w:pStyle w:val="CellColumn"/>
              <w:jc w:val="right"/>
            </w:pPr>
            <w:r>
              <w:rPr>
                <w:rFonts w:cs="Times New Roman"/>
              </w:rPr>
              <w:t>118,8</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cestama, članak 72.b.  </w:t>
      </w:r>
    </w:p>
    <w:p w:rsidR="00F244BA" w:rsidRDefault="00AC19E4">
      <w:r>
        <w:t xml:space="preserve">- Sporazum između Republike Hrvatske i Europske komisije Ujedinjenih naroda za Europu (ECE) s jedne strane i vlada zemalja sudionica TEM-a s druge strane </w:t>
      </w:r>
    </w:p>
    <w:p w:rsidR="00F244BA" w:rsidRDefault="00AC19E4">
      <w:r>
        <w:lastRenderedPageBreak/>
        <w:t>- Odluka o objavljivanju mnogostranih međunarodnih ugovora kojih je Republika Hrvatska stranka na temelju notifikacija o sukcesiji (NN-MU 12/1993)</w:t>
      </w:r>
    </w:p>
    <w:p w:rsidR="00F244BA" w:rsidRDefault="00AC19E4">
      <w:pPr>
        <w:pStyle w:val="Naslov8"/>
        <w:jc w:val="left"/>
      </w:pPr>
      <w:r>
        <w:t>Opis aktivnosti</w:t>
      </w:r>
    </w:p>
    <w:p w:rsidR="00F244BA" w:rsidRDefault="00AC19E4">
      <w:r>
        <w:t xml:space="preserve">Ministarstvo mora, prometa i infrastrukture, kao ministarstvo nadležno za poslove cestovne infrastrukture, sudjeluje u radu UNECE TEM projekta i plaća članarinu sukladno sklopljenom sporazumu. Članarina trenutno iznosi 7.500 $ godišnje. Članarina je plaćena i realizirane su sve aktivnosti vezane uz sudjelovanje u projektu. </w:t>
      </w:r>
    </w:p>
    <w:p w:rsidR="00F244BA" w:rsidRDefault="00AC19E4">
      <w:r>
        <w:t xml:space="preserve">Ministarstvo mora, prometa i infrastrukture sudjeluje u radu organizacije CORTE (The Confederation of Organisations in Road Transport Enforcement) od 2006. godine i plaća godišnju članarinu kao članica. Navedena organizacija pokriva pravna, regulatorna i tehnička pitanja vezana uz cestovni prijevoz u Europskoj uniji i izvan nje. </w:t>
      </w:r>
    </w:p>
    <w:p w:rsidR="00F244BA" w:rsidRDefault="00AC19E4">
      <w:r>
        <w:t>Ministarstvo mora, prometa i infrastrukture sudjeluje i u radu International transport foruma - ITF (do 2006. godine Europska konferencija ministara prometa), međuvladine organizacije integrirane u OECD, i za to plaća članarinu. Članarina je promjenjiva, a trenutno iznosi 28.000 €. U sklopu ITF-a djeluje Grupa za cestovni prijevoz koja upravlja kvotom dozvola za međunarodni prijevoz tereta. Temeljem sustava kvota, hrvatskim prijevoznicima izdaju se godišnje multilateralne dozvole (CEMT) kojima mogu obaviti neograničen broj prijevoza tereta između zemalja članica.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Plaćene obveze za članarine u međunarodnim organizacijama</w:t>
            </w:r>
          </w:p>
        </w:tc>
        <w:tc>
          <w:tcPr>
            <w:tcW w:w="2551" w:type="dxa"/>
          </w:tcPr>
          <w:p w:rsidR="00F244BA" w:rsidRDefault="00AC19E4">
            <w:pPr>
              <w:pStyle w:val="CellColumn"/>
              <w:jc w:val="left"/>
            </w:pPr>
            <w:r>
              <w:rPr>
                <w:rFonts w:cs="Times New Roman"/>
              </w:rPr>
              <w:t>Temeljem sporazuma isplaćuje se propisani iznos članarine za sudjelovanje u radu UNECE TEM projekta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A754005 GODIŠNJA NAKNADA ZA UPORABU JAVNIH CESTA I CESTARINA ZA NAJTEŽE INVALIDE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A754005-GODIŠNJA NAKNADA ZA UPORABU JAVNIH CESTA I CESTARINA ZA NAJTEŽE INVALIDE</w:t>
            </w:r>
          </w:p>
        </w:tc>
        <w:tc>
          <w:tcPr>
            <w:tcW w:w="2041" w:type="dxa"/>
          </w:tcPr>
          <w:p w:rsidR="00F244BA" w:rsidRDefault="00AC19E4">
            <w:pPr>
              <w:pStyle w:val="CellColumn"/>
              <w:jc w:val="right"/>
            </w:pPr>
            <w:r>
              <w:rPr>
                <w:rFonts w:cs="Times New Roman"/>
              </w:rPr>
              <w:t>3.290.508</w:t>
            </w:r>
          </w:p>
        </w:tc>
        <w:tc>
          <w:tcPr>
            <w:tcW w:w="2041" w:type="dxa"/>
          </w:tcPr>
          <w:p w:rsidR="00F244BA" w:rsidRDefault="00AC19E4">
            <w:pPr>
              <w:pStyle w:val="CellColumn"/>
              <w:jc w:val="right"/>
            </w:pPr>
            <w:r>
              <w:rPr>
                <w:rFonts w:cs="Times New Roman"/>
              </w:rPr>
              <w:t>4.605.715</w:t>
            </w:r>
          </w:p>
        </w:tc>
        <w:tc>
          <w:tcPr>
            <w:tcW w:w="2041" w:type="dxa"/>
          </w:tcPr>
          <w:p w:rsidR="00F244BA" w:rsidRDefault="00AC19E4">
            <w:pPr>
              <w:pStyle w:val="CellColumn"/>
              <w:jc w:val="right"/>
            </w:pPr>
            <w:r>
              <w:rPr>
                <w:rFonts w:cs="Times New Roman"/>
              </w:rPr>
              <w:t>4.605.715</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140,0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povlasticama u prometu, članak 7. </w:t>
      </w:r>
    </w:p>
    <w:p w:rsidR="00F244BA" w:rsidRDefault="00AC19E4">
      <w:r>
        <w:t xml:space="preserve">- Pravilnik o postupku i načinu ostvarivanja prava na oslobađanje plaćanja godišnje naknade za uporabu javnih cesta i cestarine </w:t>
      </w:r>
    </w:p>
    <w:p w:rsidR="00F244BA" w:rsidRDefault="00AC19E4">
      <w:r>
        <w:t>- Pravilnik o ostvarivanju prava na nadoknadu iznosa godišnje naknade za uporabu javnih cesta i cestarine za uporabu autocesta i objekata s naplatom</w:t>
      </w:r>
    </w:p>
    <w:p w:rsidR="00F244BA" w:rsidRDefault="00AC19E4">
      <w:pPr>
        <w:pStyle w:val="Naslov8"/>
        <w:jc w:val="left"/>
      </w:pPr>
      <w:r>
        <w:t>Opis aktivnosti</w:t>
      </w:r>
    </w:p>
    <w:p w:rsidR="00F244BA" w:rsidRDefault="00AC19E4">
      <w:r>
        <w:t xml:space="preserve">Aktivnošću se osigurava ostvarivanje prava na mobilnost i jednaku dostupnost prijevoznih sredstava u cestovnom prometu osobama s invaliditetom propisanih člankom 88. Zakona o cestama. Osobe s invaliditetom, koje imaju određeni stupanj tjelesnog oštećenja, ostvaruju pravo na oslobađanje plaćanja godišnje naknade za uporabu javnih </w:t>
      </w:r>
      <w:r>
        <w:lastRenderedPageBreak/>
        <w:t xml:space="preserve">cesta koja se plaća pri registraciji osobnog automobila i/ili pravo na oslobađanje plaćanja cestarine za uporabu autocesta i objekata s naplatom (most, tunel, vijadukt i sl.). </w:t>
      </w:r>
    </w:p>
    <w:p w:rsidR="00F244BA" w:rsidRDefault="00AC19E4">
      <w:r>
        <w:t xml:space="preserve">Provođenjem ove aktivnosti osigurava se i potiče mobilnost te povećava dostupnost prijevoznih sredstava u cestovnom prometu osobama s tjelesnim invaliditetom. </w:t>
      </w:r>
    </w:p>
    <w:p w:rsidR="00F244BA" w:rsidRDefault="00AC19E4">
      <w:r>
        <w:t>Tijekom 2024. godine, 36.901 korisnik ostvario je pravo na oslobađanje od plaćanja godišnje naknade za uporabu javnih cesta, odnosno pravo na oslobađanje od plaćanja cestarine za korištenje dionica autocesta i objekata s naplatom. Do odstupanja od ciljane vrijednosti je došlo zbog većeg broja registriranih vozila i većeg broja korištenja autocesta od strane osoba sa invaliditetom nakon stupanja na snagu Zakona o povlasticama u prometu.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ostvarenih prava na oslobađanje od plaćanja godišnje naknade za uporabu javnih cesta odnosno pravo na oslobađanje od plaćanja cestarine za korištenje dionica autocesta i objekata s naplatom (godišnja vrijednost)</w:t>
            </w:r>
          </w:p>
        </w:tc>
        <w:tc>
          <w:tcPr>
            <w:tcW w:w="2551" w:type="dxa"/>
          </w:tcPr>
          <w:p w:rsidR="00F244BA" w:rsidRDefault="00AC19E4">
            <w:pPr>
              <w:pStyle w:val="CellColumn"/>
              <w:jc w:val="left"/>
            </w:pPr>
            <w:r>
              <w:rPr>
                <w:rFonts w:cs="Times New Roman"/>
              </w:rPr>
              <w:t>Naknada za osobe sa invaliditetom koje su ostvarile pravo na oslobađanje od plaćanja godišnje naknade za uporabu javnih cesta odnosno pravo na oslobađanje od plaćanja cestarine za korištenje dionica autocesta i objekata s naplatom koja se isplaćuje na godišnjoj razini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30.800</w:t>
            </w:r>
          </w:p>
        </w:tc>
        <w:tc>
          <w:tcPr>
            <w:tcW w:w="1020" w:type="dxa"/>
          </w:tcPr>
          <w:p w:rsidR="00F244BA" w:rsidRDefault="00AC19E4">
            <w:pPr>
              <w:pStyle w:val="CellColumn"/>
              <w:jc w:val="right"/>
            </w:pPr>
            <w:r>
              <w:rPr>
                <w:rFonts w:cs="Times New Roman"/>
              </w:rPr>
              <w:t>Podaci upravitelja cesta</w:t>
            </w:r>
          </w:p>
        </w:tc>
        <w:tc>
          <w:tcPr>
            <w:tcW w:w="1020" w:type="dxa"/>
          </w:tcPr>
          <w:p w:rsidR="00F244BA" w:rsidRDefault="00AC19E4">
            <w:pPr>
              <w:pStyle w:val="CellColumn"/>
              <w:jc w:val="right"/>
            </w:pPr>
            <w:r>
              <w:rPr>
                <w:rFonts w:cs="Times New Roman"/>
              </w:rPr>
              <w:t>32.000</w:t>
            </w:r>
          </w:p>
        </w:tc>
        <w:tc>
          <w:tcPr>
            <w:tcW w:w="1020" w:type="dxa"/>
          </w:tcPr>
          <w:p w:rsidR="00F244BA" w:rsidRDefault="00AC19E4">
            <w:pPr>
              <w:pStyle w:val="CellColumn"/>
              <w:jc w:val="right"/>
            </w:pPr>
            <w:r>
              <w:rPr>
                <w:rFonts w:cs="Times New Roman"/>
              </w:rPr>
              <w:t>36.901</w:t>
            </w:r>
          </w:p>
        </w:tc>
      </w:tr>
    </w:tbl>
    <w:p w:rsidR="00F244BA" w:rsidRDefault="00F244BA">
      <w:pPr>
        <w:jc w:val="left"/>
      </w:pPr>
    </w:p>
    <w:p w:rsidR="00F244BA" w:rsidRDefault="00AC19E4">
      <w:pPr>
        <w:pStyle w:val="Naslov4"/>
      </w:pPr>
      <w:r>
        <w:t>A810057 POTPORA ŽUPANIJSKIM UPRAVAMA ZA CESTE ZA ODRŽAVANJE, REKONSTRUKCIJU I GRAĐENJE ŽUPANIJSKIH I LOKALNIH CESTA</w:t>
      </w:r>
    </w:p>
    <w:tbl>
      <w:tblPr>
        <w:tblStyle w:val="StilTablice"/>
        <w:tblW w:w="10206" w:type="dxa"/>
        <w:jc w:val="center"/>
        <w:tblLook w:val="04A0" w:firstRow="1" w:lastRow="0" w:firstColumn="1" w:lastColumn="0" w:noHBand="0" w:noVBand="1"/>
      </w:tblPr>
      <w:tblGrid>
        <w:gridCol w:w="1881"/>
        <w:gridCol w:w="1968"/>
        <w:gridCol w:w="1969"/>
        <w:gridCol w:w="1969"/>
        <w:gridCol w:w="1206"/>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A810057-POTPORA ŽUPANIJSKIM UPRAVAMA ZA CESTE ZA ODRŽAVANJE, REKONSTRUKCIJU I GRAĐENJE ŽUPANIJSKIH I LOKALNIH CESTA</w:t>
            </w:r>
          </w:p>
        </w:tc>
        <w:tc>
          <w:tcPr>
            <w:tcW w:w="2041" w:type="dxa"/>
          </w:tcPr>
          <w:p w:rsidR="00F244BA" w:rsidRDefault="00AC19E4">
            <w:pPr>
              <w:pStyle w:val="CellColumn"/>
              <w:jc w:val="right"/>
            </w:pPr>
            <w:r>
              <w:rPr>
                <w:rFonts w:cs="Times New Roman"/>
              </w:rPr>
              <w:t>25.906.277</w:t>
            </w:r>
          </w:p>
        </w:tc>
        <w:tc>
          <w:tcPr>
            <w:tcW w:w="2041" w:type="dxa"/>
          </w:tcPr>
          <w:p w:rsidR="00F244BA" w:rsidRDefault="00AC19E4">
            <w:pPr>
              <w:pStyle w:val="CellColumn"/>
              <w:jc w:val="right"/>
            </w:pPr>
            <w:r>
              <w:rPr>
                <w:rFonts w:cs="Times New Roman"/>
              </w:rPr>
              <w:t>24.996.374</w:t>
            </w:r>
          </w:p>
        </w:tc>
        <w:tc>
          <w:tcPr>
            <w:tcW w:w="2041" w:type="dxa"/>
          </w:tcPr>
          <w:p w:rsidR="00F244BA" w:rsidRDefault="00AC19E4">
            <w:pPr>
              <w:pStyle w:val="CellColumn"/>
              <w:jc w:val="right"/>
            </w:pPr>
            <w:r>
              <w:rPr>
                <w:rFonts w:cs="Times New Roman"/>
              </w:rPr>
              <w:t>24.996.374</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96,5</w:t>
            </w:r>
          </w:p>
        </w:tc>
      </w:tr>
    </w:tbl>
    <w:p w:rsidR="00F244BA" w:rsidRDefault="00F244BA">
      <w:pPr>
        <w:jc w:val="left"/>
      </w:pPr>
    </w:p>
    <w:p w:rsidR="00F244BA" w:rsidRDefault="00AC19E4">
      <w:pPr>
        <w:pStyle w:val="Naslov8"/>
        <w:jc w:val="left"/>
      </w:pPr>
      <w:r>
        <w:t>Zakonske i druge pravne osnove</w:t>
      </w:r>
    </w:p>
    <w:p w:rsidR="00F244BA" w:rsidRDefault="00AC19E4">
      <w:r>
        <w:t>- Zakon o cestama</w:t>
      </w:r>
    </w:p>
    <w:p w:rsidR="00F244BA" w:rsidRDefault="00AC19E4">
      <w:pPr>
        <w:pStyle w:val="Naslov8"/>
        <w:jc w:val="left"/>
      </w:pPr>
      <w:r>
        <w:t>Opis aktivnosti</w:t>
      </w:r>
    </w:p>
    <w:p w:rsidR="00F244BA" w:rsidRDefault="00AC19E4">
      <w:r>
        <w:t xml:space="preserve">Županijskim upravama za ceste su u 2024. godini doznačena financijska sredstva za održavanje, rekonstrukciju i građenje županijskih i lokalnih cesta. Navedena sredstva usmjerena su za postizanje više razine održavanja, rekonstrukcije i građenja županijskih i lokalnih cesta. </w:t>
      </w:r>
    </w:p>
    <w:p w:rsidR="00F244BA" w:rsidRDefault="00AC19E4">
      <w:r>
        <w:t xml:space="preserve">Temeljem Izmjena i dopuna Državnog proračuna Republike Hrvatske za 2024. godinu i projekcija za 2025. i 2026. godinu, u prosincu 2024. godine dodijeljena su sredstva potpore županijskim upravama za ceste za održavanje, rekonstrukciju i građenje županijskih i lokalnih cesta u visini ukupno planiranih sredstava. </w:t>
      </w:r>
    </w:p>
    <w:p w:rsidR="00F244BA" w:rsidRDefault="00AC19E4">
      <w:r>
        <w:lastRenderedPageBreak/>
        <w:t>Sredstva za održavanje, rekonstrukciju i građenje županijskih i lokalnih cesta raspoređena su korisnicima sredstava, primjenjujući kriterije iz članka 92. Zakona o cestama u slijedećim iznosima: ŽUC Bjelovarsko-bilogorske županije 564.841 €, ŽUC Brodsko-posavske županije 141.124 €, ŽUC Dubrovačko-neretvanske županije 3.268.944 €, ŽUC Istarske županije 473.228 €, ŽUC Karlovačke županije 11.326.597,51 €, ŽUC Koprivničko-križevačke županije 616.254 €, ŽUC Krapinsko-zagorske županije 393.737,01 €, ŽUC Ličko-senjske županije 1.547.427,62 €, ŽUC Međimurske županije 299.323 €, ŽUC Osječko-baranjske županije 246.679 €, ŽUC Požeško-slavonske županije 456.301 €, ŽUC Primorsko-goranske županije 194.479 €, ŽUC Sisačko-moslavačke županije 1.242.126,46 €, ŽUC Splitsko-dalmatinske županije 372.157 €, ŽUC Šibensko-kninske županije 1.530.740 €, ŽUC Varaždinske županije 381.308,91 €, ŽUC Virovitičko-podravske županije 502.494 €, ŽUC Vukovarsko-srijemske županije 287.278 €, ŽUC Zadarske županije 885.425 € i ŽUC Zagrebačke županije 265.909 €.</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ugovora sklopljenih sa županijskim upravama za ceste koje  upravljaju županijskim i lokalnim cestama</w:t>
            </w:r>
          </w:p>
        </w:tc>
        <w:tc>
          <w:tcPr>
            <w:tcW w:w="2551" w:type="dxa"/>
          </w:tcPr>
          <w:p w:rsidR="00F244BA" w:rsidRDefault="00AC19E4">
            <w:pPr>
              <w:pStyle w:val="CellColumn"/>
              <w:jc w:val="left"/>
            </w:pPr>
            <w:r>
              <w:rPr>
                <w:rFonts w:cs="Times New Roman"/>
              </w:rPr>
              <w:t>Temeljem odluke ministra mora, prometa i infrastrukture isplaćuju se sredstva potpore za održavanje, rekonstrukciju i održavanje županijskih i lokalnih cesta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20</w:t>
            </w:r>
          </w:p>
        </w:tc>
        <w:tc>
          <w:tcPr>
            <w:tcW w:w="1020" w:type="dxa"/>
          </w:tcPr>
          <w:p w:rsidR="00F244BA" w:rsidRDefault="00AC19E4">
            <w:pPr>
              <w:pStyle w:val="CellColumn"/>
              <w:jc w:val="right"/>
            </w:pPr>
            <w:r>
              <w:rPr>
                <w:rFonts w:cs="Times New Roman"/>
              </w:rPr>
              <w:t>20</w:t>
            </w:r>
          </w:p>
        </w:tc>
      </w:tr>
    </w:tbl>
    <w:p w:rsidR="00F244BA" w:rsidRDefault="00F244BA">
      <w:pPr>
        <w:jc w:val="left"/>
      </w:pPr>
    </w:p>
    <w:p w:rsidR="00F244BA" w:rsidRDefault="00AC19E4">
      <w:pPr>
        <w:pStyle w:val="Naslov4"/>
      </w:pPr>
      <w:r>
        <w:t>A819031 PROVEDBA UGOVORA O KONCESIJI - BINA-ISTRA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A819031-PROVEDBA UGOVORA O KONCESIJI - BINA-ISTRA</w:t>
            </w:r>
          </w:p>
        </w:tc>
        <w:tc>
          <w:tcPr>
            <w:tcW w:w="2041" w:type="dxa"/>
          </w:tcPr>
          <w:p w:rsidR="00F244BA" w:rsidRDefault="00AC19E4">
            <w:pPr>
              <w:pStyle w:val="CellColumn"/>
              <w:jc w:val="right"/>
            </w:pPr>
            <w:r>
              <w:rPr>
                <w:rFonts w:cs="Times New Roman"/>
              </w:rPr>
              <w:t>32.544.082</w:t>
            </w:r>
          </w:p>
        </w:tc>
        <w:tc>
          <w:tcPr>
            <w:tcW w:w="2041" w:type="dxa"/>
          </w:tcPr>
          <w:p w:rsidR="00F244BA" w:rsidRDefault="00AC19E4">
            <w:pPr>
              <w:pStyle w:val="CellColumn"/>
              <w:jc w:val="right"/>
            </w:pPr>
            <w:r>
              <w:rPr>
                <w:rFonts w:cs="Times New Roman"/>
              </w:rPr>
              <w:t>30.141.187</w:t>
            </w:r>
          </w:p>
        </w:tc>
        <w:tc>
          <w:tcPr>
            <w:tcW w:w="2041" w:type="dxa"/>
          </w:tcPr>
          <w:p w:rsidR="00F244BA" w:rsidRDefault="00AC19E4">
            <w:pPr>
              <w:pStyle w:val="CellColumn"/>
              <w:jc w:val="right"/>
            </w:pPr>
            <w:r>
              <w:rPr>
                <w:rFonts w:cs="Times New Roman"/>
              </w:rPr>
              <w:t>30.141.186</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92,6</w:t>
            </w:r>
          </w:p>
        </w:tc>
      </w:tr>
    </w:tbl>
    <w:p w:rsidR="00F244BA" w:rsidRDefault="00F244BA">
      <w:pPr>
        <w:jc w:val="left"/>
      </w:pPr>
    </w:p>
    <w:p w:rsidR="00F244BA" w:rsidRDefault="00AC19E4">
      <w:pPr>
        <w:pStyle w:val="Naslov8"/>
        <w:jc w:val="left"/>
      </w:pPr>
      <w:r>
        <w:t>Zakonske i druge pravne osnove</w:t>
      </w:r>
    </w:p>
    <w:p w:rsidR="00F244BA" w:rsidRDefault="00AC19E4">
      <w:r>
        <w:t>- Ugovor o koncesiji za financiranje, građenje, upravljanje i održavanje "Jadranske autoceste" dionica: Dragonja-Pula i Kanfanar-Pazin-Matulji (Prva i druga faza), od 25. rujna 1995. godine sa sedamšest izmjena Ugovora - članci 26.2 i 27.2 Poglavlja 5. Ugovora o koncesiji za financiranje, građenje, upravljanje i održavanje „Jadranske autoceste“ - dionica Dragonja-Pula i Kanfanar-Pazin-Matulji (Prva i druga faza), od 25. rujna 1995. godine i članak 6. Priloga 19. Ugovora o izmjenama i dopunama br. 5 Ugovora o koncesiji za financiranje, građenje, upravljanje i održavanje „Jadranske autoceste“ - dionica Dragonja-Pula i Kanfanar-Pazin-Matulji (Prva i druga faza), od 06. studenoga 2018. godine, odnosno članak 6. Priloga 19. Ugovora o izmjenama i dopunama br. 6 Ugovora o koncesiji za financiranje, građenje, upravljanje i održavanje „Jadranske autoceste“ - dionica Dragonja-Pula i Kanfanar-Pazin-Matulji (Prva i druga faza) od 4. studenoga 2020. godine, odnosno članak 6. Priloga 19. Ugovora o izmjenama i dopunama br. 7 Ugovora o koncesiji za financiranje, građenje, upravljanje i održavanje „Jadranske autoceste“ - dionica Dragonja-Pula i Kanfanar-Pazin-Matulji od 10. svibnja 2023. godine.</w:t>
      </w:r>
    </w:p>
    <w:p w:rsidR="00F244BA" w:rsidRDefault="00AC19E4">
      <w:pPr>
        <w:pStyle w:val="Naslov8"/>
        <w:jc w:val="left"/>
      </w:pPr>
      <w:r>
        <w:t>Opis aktivnosti</w:t>
      </w:r>
    </w:p>
    <w:p w:rsidR="00F244BA" w:rsidRDefault="00AC19E4">
      <w:r>
        <w:t xml:space="preserve">Koncesijskim ugovorom između Republike Hrvatske i društva Bina Istra d.d. društvu se nadoknađuje financijski doprinos, koji predstavlja razliku između predviđenih prihoda od cestarine i troškova definiranih Ugovorom o koncesiji. Obzirom da dolazi do razlike između predviđenih prihoda od cestarine i troškova definiranih Prilogom 19. Izmjena i dopuna Ugovora od koncesiji broj 5., od 6. studenog 2018. godine, Izmjena i dopuna Ugovora o koncesiji broj 6. od 4. studenog 2020. godine, odnosno Izmjenama i dopunama Ugovora o koncesiji broj 7. od 10. svibnja 2023. godine, predviđeni prihodi od cestarine nisu dovoljni za pokrivanje svih definiranih troškova u danom roku </w:t>
      </w:r>
      <w:r>
        <w:lastRenderedPageBreak/>
        <w:t xml:space="preserve">trajanja koncesije. Iznos Financijskog doprinosa određuje se na temelju odobrenih troškova i cijene cestarine na Istarskom ipsilonu od strane koncedenta na godišnjoj razini, a izračunava se pomoću financijskog modela. </w:t>
      </w:r>
    </w:p>
    <w:p w:rsidR="00F244BA" w:rsidRDefault="00AC19E4">
      <w:r>
        <w:t xml:space="preserve">Sredstva s ove aktivnosti utrošena su za:  </w:t>
      </w:r>
    </w:p>
    <w:p w:rsidR="00F244BA" w:rsidRDefault="00AC19E4">
      <w:r>
        <w:t xml:space="preserve">- podmirenje standardnih troškova Koncesionara  </w:t>
      </w:r>
    </w:p>
    <w:p w:rsidR="00F244BA" w:rsidRDefault="00AC19E4">
      <w:r>
        <w:t xml:space="preserve">- troškove upravljanja i održavanja (na temelju ugovora o održavanju i upravljanju 142 km autoceste na Istarskom ipsilonu) </w:t>
      </w:r>
    </w:p>
    <w:p w:rsidR="00F244BA" w:rsidRDefault="00AC19E4">
      <w:r>
        <w:t xml:space="preserve">- izvanredno održavanje (tunel Učka, obnova autoceste) </w:t>
      </w:r>
    </w:p>
    <w:p w:rsidR="00F244BA" w:rsidRDefault="00AC19E4">
      <w:r>
        <w:t xml:space="preserve">- servisiranje duga (otplata kamate i glavnice na povučena sredstva iz kredita temeljem Ugovora o kreditu).  </w:t>
      </w:r>
    </w:p>
    <w:p w:rsidR="00F244BA" w:rsidRDefault="00AC19E4">
      <w:r>
        <w:t xml:space="preserve">Društvo je tijekom 2024. godine provodilo sljedeće aktivnosti građenja: </w:t>
      </w:r>
    </w:p>
    <w:p w:rsidR="00F244BA" w:rsidRDefault="00AC19E4">
      <w:r>
        <w:t>1.</w:t>
      </w:r>
      <w:r>
        <w:tab/>
        <w:t xml:space="preserve">Dopuna na puni profil dionica Vranja – Tunel Učka (portal Kvarner) – Pod-faza 2B2-1 </w:t>
      </w:r>
    </w:p>
    <w:p w:rsidR="00F244BA" w:rsidRDefault="00AC19E4">
      <w:r>
        <w:t xml:space="preserve">Izdavanjem Naloga za početak radova, 2. prosinca 2020. godine, društvo Bina - Istra započelo je radove na projektu Pod-Faze 2B2-1 (dopuna na puni profil dionice Vranja – Tunel Učka (portal Kvarner)). Projekt se sastojao od dopune na puni profil izgradnjom drugog kolničkog traka od čvora Vranja do tunela Učka/Portal Kvarner što uključuje i drugu cijev tunela Učka, sjeveroistočno od postojeće cijevi. Ukupna dužina ove dionice iznosi 8 km, od čega 5,63 km nove cijevi tunela. Izgrađeno je novo odmorište na kvarnerskoj strani tunela Učka. Radovi su uključivali i izgradnju novog čvorišta Vranja, izgradnju novog podvožnjaka, izgradnju dva nova nadvožnjaka, izgradnju prometne poveznice iznad portala obje cijevi tunela Učka na istarskoj strani, izgradnju tri nova cestarinska prolaza i izgradnju nove zgrade za vatrogasnu postrojbu na postojećem platou s istarske strane tunela Učka. Navedena dionica, Podfaza 2B2-1 svečano je otvorena 13. rujna 2024. godine.  </w:t>
      </w:r>
    </w:p>
    <w:p w:rsidR="00F244BA" w:rsidRDefault="00AC19E4">
      <w:r>
        <w:t>2.</w:t>
      </w:r>
      <w:r>
        <w:tab/>
        <w:t xml:space="preserve">Dopuna na puni profil dionice od tunela Učka (Kvarner) do čvora Matulji  što predstavlja Pod-fazu 2B2-2 te dupliranje vijadukta Limska Draga i mosta Mirna što predstavlja Pod-fazu 2B2-3 </w:t>
      </w:r>
    </w:p>
    <w:p w:rsidR="00F244BA" w:rsidRDefault="00AC19E4">
      <w:r>
        <w:t xml:space="preserve">Ukupan iznos investicije je 199 milijuna € na dan 31. 12. 2022. godine uvećan za Ostale građevinske radove Pod-faze 2B2-2 i Pod-faze 2B2-3 ukupne vrijednosti 14 milijuna €. </w:t>
      </w:r>
    </w:p>
    <w:p w:rsidR="00F244BA" w:rsidRDefault="00AC19E4">
      <w:r>
        <w:t xml:space="preserve">Ukupna duljina pod-faze 2B2-2 je 10,30 kilometara, a sastoji se od 5 pod-dionica: </w:t>
      </w:r>
    </w:p>
    <w:p w:rsidR="00F244BA" w:rsidRDefault="00AC19E4">
      <w:r>
        <w:t xml:space="preserve">-2B2-2-1 – Dio A  - Proširenje odmorišta Kvarner  </w:t>
      </w:r>
    </w:p>
    <w:p w:rsidR="00F244BA" w:rsidRDefault="00AC19E4">
      <w:r>
        <w:t xml:space="preserve">-2B2-2-1 – Dio B – izgradnja 2 dodatne kolničke trake između završetka pod-faze 2B2-1 i početka faze 2B2-2 (1,3 km) </w:t>
      </w:r>
    </w:p>
    <w:p w:rsidR="00F244BA" w:rsidRDefault="00AC19E4">
      <w:r>
        <w:t xml:space="preserve">-2B2-2-2 Odmorište Kvarner – Veprinac (2,8 km) </w:t>
      </w:r>
    </w:p>
    <w:p w:rsidR="00F244BA" w:rsidRDefault="00AC19E4">
      <w:r>
        <w:t xml:space="preserve">-2B2-2-3 Veprinac – Anđeli (3,5 km) </w:t>
      </w:r>
    </w:p>
    <w:p w:rsidR="00F244BA" w:rsidRDefault="00AC19E4">
      <w:r>
        <w:t xml:space="preserve">-2B2-2-4 Anđeli – Frančići (1,6 km) </w:t>
      </w:r>
    </w:p>
    <w:p w:rsidR="00F244BA" w:rsidRDefault="00AC19E4">
      <w:r>
        <w:t xml:space="preserve">-2B2-2-5 Frančići – Matulji (1,2 km) </w:t>
      </w:r>
    </w:p>
    <w:p w:rsidR="00F244BA" w:rsidRDefault="00AC19E4">
      <w:r>
        <w:t xml:space="preserve">Svrha provedbe ovog projekta je potpuno povezivanje hrvatske mreže autocesta u čvorištu Matulji na riječkoj zaobilaznici. Predviđeno je da se i postojeća brza cesta na određenim dijelovima rekonstruira kako bi se poboljšali projektni element te je obuhvaćena zaštita od buke kako za novi tako i za postojeći kolnik.   </w:t>
      </w:r>
    </w:p>
    <w:p w:rsidR="00F244BA" w:rsidRDefault="00AC19E4">
      <w:r>
        <w:t xml:space="preserve">Pod-Faza 2B2-3 sastoji se od dupliranje mosta Mirna (aproksimativne duljine 1,4 km) i dupliranje vijadukta Limska Draga (aproksimativne duljine 0,6 km) na zapadnom kraku Istarskog Ipsilona, dionici autoceste A9 Umag – Pula: </w:t>
      </w:r>
    </w:p>
    <w:p w:rsidR="00F244BA" w:rsidRDefault="00AC19E4">
      <w:r>
        <w:t xml:space="preserve">Izgradnja pod-faza 2B2-2 i 2B2-3 povećat će sigurnost autoceste dodavanjem drugog kolnika i barijera između tunela Učka i Matulja te udvostručavanjem mosta Mirna i vijadukta Limska Draga, što će dovesti do manjeg broja teških nesreća i smanjenjem opasnosti koje predstavlja potencijalno usko grlo na izlazu iz udvostručenog tunela Učka. Pod-faza 2B2-2 i Podfaza 2B2-3 smanjit će vrijeme putovanja za korisnike i poboljšati zaštitu okoliša smanjenjem zagušenja što će dovesti do smanjenja emisije CO2 i onečišćenja zraka unutar Parka prirode Učka te poboljšanja zaštite od buke. </w:t>
      </w:r>
    </w:p>
    <w:p w:rsidR="00F244BA" w:rsidRDefault="00AC19E4">
      <w:r>
        <w:t>Radovi na izgradnji Pod-faze 2B2-2 i Pod- faze 2B2-3 započeli su dana 25. kolovoza 2023. godine kada je izdan Nalog za početak radova za prve tri dionice: 2B2-2-2 (izgradnja dviju dodatnih traka između krajnje točke odmorišta Kvarner i čvorišta Veprinac), 2B2-2-3 (izgradnja dviju dodatnih traka između čvorišta Veprinac i čvorišta Anđeli) i 2B2-3-1 (vijadukt Limska Draga). Drugi Nalog za početak radova izdan je 9. veljače 2024. godine za poddionice Podfaze 2B2-2: 2B2-2-1 – Dio A  - Proširenje odmorišta Kvarner , poddionca 2B2-2-1 – Dio B – Izgradnja 2 dodatne kolničke trake između završetka Podfaze 2B2-1 i početka faze 2B2-2 (1,3 km) i za poddionicu Podfaze 2B2-3: 2B2-</w:t>
      </w:r>
      <w:r>
        <w:lastRenderedPageBreak/>
        <w:t xml:space="preserve">3-2 vijadukt Mirna. Treći Nalog za početak radova izdan je 11. srpnja 2024. godine, a obuhvaća poddionice Podfaze 2B2-2: 2B2-2-4 Anđeli – Frančići (1,6 km) i 2B2-2-5 Frančići – Matulji (1,2 km). </w:t>
      </w:r>
    </w:p>
    <w:p w:rsidR="00F244BA" w:rsidRDefault="00AC19E4">
      <w:r>
        <w:t xml:space="preserve">Zatvaranje financijske konstrukcije s domaćim i inozemnim bankama službeno je završeno 31. kolovoza 2023. godine prvim povlačenjem iz terminskog kredita. Predviđeni rok dovršetka svih radova Pod-faze 2B2-2 i 2B2-3 jest 38 mjeseci, odnosno kraj listopada 2026. godine. </w:t>
      </w:r>
    </w:p>
    <w:p w:rsidR="00F244BA" w:rsidRDefault="00AC19E4">
      <w:r>
        <w:t xml:space="preserve">Broj kilometara novoizgrađenih autocesta u tekućem razdoblju za 2024. godinu je veći od planske veličine zbog izdavanja preostala dva Naloga za početak građenja na pod-fazama 2B2-2 i 2B2-3. </w:t>
      </w:r>
    </w:p>
    <w:p w:rsidR="00F244BA" w:rsidRDefault="00AC19E4">
      <w:r>
        <w:t xml:space="preserve">Ostvarena vrijednost broja kilometara investicijski održavanih autocesta u 2024. godini je nešto viša od planirane. Određeni projekti pojačanog održavanja, koji su ugovoreni u 2023. godini, realizirani su u 2024. godini. Pojedini projekti pojačanog održavanja, koji su ugovoreni u 2024. godini, bit će u potpunosti realizirani u narednom periodu, a među njima i najveći i najkompleksniji-Rekonstrukcija stare cijevi tunela Učka. Radovi na rekonstrukciji, uz prilagodbu stare cijevi za jednosmjerni promet, obuhvaćaju i izgradnju podnožnog svoda u zoni “SOS 7”; izradu nove odvodnje i kolničke konstrukcije, tunelsku opremu (prometna signalizacija i oprema, rasvjeta, vatrodojava i protupožarna zaštita, ventilacija, senzorika, radio-sustav). </w:t>
      </w:r>
    </w:p>
    <w:p w:rsidR="00F244BA" w:rsidRDefault="00AC19E4">
      <w:r>
        <w:t>Radovi su započeli 1. listopada 2024. , a rok dovršetka i tehnički pregled predviđeni su sredinom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kilometara novoizgrađenih autocesta u nadležnosti Bina-Istre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Koncesijskim ugovorom između Republike Hrvatske i društva Bina Istra d.d. se nadoknađuje financijski doprinos, koji predstavlja razliku između predviđenih prihoda od cestarine i troškova definiranih Ugovorom o koncesiji, a koji se investira u izgradnju autocesta u nadležnosti društva Bina Istra d.d</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2,14</w:t>
            </w:r>
          </w:p>
        </w:tc>
        <w:tc>
          <w:tcPr>
            <w:tcW w:w="1020" w:type="dxa"/>
          </w:tcPr>
          <w:p w:rsidR="00F244BA" w:rsidRDefault="00AC19E4">
            <w:pPr>
              <w:pStyle w:val="CellColumn"/>
              <w:jc w:val="right"/>
            </w:pPr>
            <w:r>
              <w:rPr>
                <w:rFonts w:cs="Times New Roman"/>
              </w:rPr>
              <w:t>Bina-Istra d.d</w:t>
            </w:r>
          </w:p>
        </w:tc>
        <w:tc>
          <w:tcPr>
            <w:tcW w:w="1020" w:type="dxa"/>
          </w:tcPr>
          <w:p w:rsidR="00F244BA" w:rsidRDefault="00AC19E4">
            <w:pPr>
              <w:pStyle w:val="CellColumn"/>
              <w:jc w:val="right"/>
            </w:pPr>
            <w:r>
              <w:rPr>
                <w:rFonts w:cs="Times New Roman"/>
              </w:rPr>
              <w:t>4,10</w:t>
            </w:r>
          </w:p>
        </w:tc>
        <w:tc>
          <w:tcPr>
            <w:tcW w:w="1020" w:type="dxa"/>
          </w:tcPr>
          <w:p w:rsidR="00F244BA" w:rsidRDefault="00AC19E4">
            <w:pPr>
              <w:pStyle w:val="CellColumn"/>
              <w:jc w:val="right"/>
            </w:pPr>
            <w:r>
              <w:rPr>
                <w:rFonts w:cs="Times New Roman"/>
              </w:rPr>
              <w:t>6,21</w:t>
            </w:r>
          </w:p>
        </w:tc>
      </w:tr>
      <w:tr w:rsidR="00F244BA">
        <w:trPr>
          <w:jc w:val="center"/>
        </w:trPr>
        <w:tc>
          <w:tcPr>
            <w:tcW w:w="2551" w:type="dxa"/>
          </w:tcPr>
          <w:p w:rsidR="00F244BA" w:rsidRDefault="00AC19E4">
            <w:pPr>
              <w:pStyle w:val="CellColumn"/>
              <w:jc w:val="left"/>
            </w:pPr>
            <w:r>
              <w:rPr>
                <w:rFonts w:cs="Times New Roman"/>
              </w:rPr>
              <w:t xml:space="preserve">Broj kilometara investicijski održavanih autocesta u nadležnosti Bina-Istre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Koncesijskim ugovorom između Republike Hrvatske i društva Bina Istra d.d. se nadoknađuje financijski doprinos, koji predstavlja razliku između predviđenih prihoda od cestarine i troškova definiranih Ugovorom o koncesiji, a koji se investira u održavanje autocesta u nadležnosti društva Bina Istra d.d.</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15,30</w:t>
            </w:r>
          </w:p>
        </w:tc>
        <w:tc>
          <w:tcPr>
            <w:tcW w:w="1020" w:type="dxa"/>
          </w:tcPr>
          <w:p w:rsidR="00F244BA" w:rsidRDefault="00AC19E4">
            <w:pPr>
              <w:pStyle w:val="CellColumn"/>
              <w:jc w:val="right"/>
            </w:pPr>
            <w:r>
              <w:rPr>
                <w:rFonts w:cs="Times New Roman"/>
              </w:rPr>
              <w:t>Bina-Istra d.d.</w:t>
            </w:r>
          </w:p>
        </w:tc>
        <w:tc>
          <w:tcPr>
            <w:tcW w:w="1020" w:type="dxa"/>
          </w:tcPr>
          <w:p w:rsidR="00F244BA" w:rsidRDefault="00AC19E4">
            <w:pPr>
              <w:pStyle w:val="CellColumn"/>
              <w:jc w:val="right"/>
            </w:pPr>
            <w:r>
              <w:rPr>
                <w:rFonts w:cs="Times New Roman"/>
              </w:rPr>
              <w:t>15,60</w:t>
            </w:r>
          </w:p>
        </w:tc>
        <w:tc>
          <w:tcPr>
            <w:tcW w:w="1020" w:type="dxa"/>
          </w:tcPr>
          <w:p w:rsidR="00F244BA" w:rsidRDefault="00AC19E4">
            <w:pPr>
              <w:pStyle w:val="CellColumn"/>
              <w:jc w:val="right"/>
            </w:pPr>
            <w:r>
              <w:rPr>
                <w:rFonts w:cs="Times New Roman"/>
              </w:rPr>
              <w:t>16,00</w:t>
            </w:r>
          </w:p>
        </w:tc>
      </w:tr>
    </w:tbl>
    <w:p w:rsidR="00F244BA" w:rsidRDefault="00F244BA">
      <w:pPr>
        <w:jc w:val="left"/>
      </w:pPr>
    </w:p>
    <w:p w:rsidR="00F244BA" w:rsidRDefault="00AC19E4">
      <w:pPr>
        <w:pStyle w:val="Naslov4"/>
      </w:pPr>
      <w:r>
        <w:t>A820029 NAKNADA CESTARINA ZA NATO I EUFOR VOZILA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A820029-NAKNADA CESTARINA ZA NATO I EUFOR VOZILA</w:t>
            </w:r>
          </w:p>
        </w:tc>
        <w:tc>
          <w:tcPr>
            <w:tcW w:w="2041" w:type="dxa"/>
          </w:tcPr>
          <w:p w:rsidR="00F244BA" w:rsidRDefault="00AC19E4">
            <w:pPr>
              <w:pStyle w:val="CellColumn"/>
              <w:jc w:val="right"/>
            </w:pPr>
            <w:r>
              <w:rPr>
                <w:rFonts w:cs="Times New Roman"/>
              </w:rPr>
              <w:t>68.066</w:t>
            </w:r>
          </w:p>
        </w:tc>
        <w:tc>
          <w:tcPr>
            <w:tcW w:w="2041" w:type="dxa"/>
          </w:tcPr>
          <w:p w:rsidR="00F244BA" w:rsidRDefault="00AC19E4">
            <w:pPr>
              <w:pStyle w:val="CellColumn"/>
              <w:jc w:val="right"/>
            </w:pPr>
            <w:r>
              <w:rPr>
                <w:rFonts w:cs="Times New Roman"/>
              </w:rPr>
              <w:t>105.976</w:t>
            </w:r>
          </w:p>
        </w:tc>
        <w:tc>
          <w:tcPr>
            <w:tcW w:w="2041" w:type="dxa"/>
          </w:tcPr>
          <w:p w:rsidR="00F244BA" w:rsidRDefault="00AC19E4">
            <w:pPr>
              <w:pStyle w:val="CellColumn"/>
              <w:jc w:val="right"/>
            </w:pPr>
            <w:r>
              <w:rPr>
                <w:rFonts w:cs="Times New Roman"/>
              </w:rPr>
              <w:t>85.180</w:t>
            </w:r>
          </w:p>
        </w:tc>
        <w:tc>
          <w:tcPr>
            <w:tcW w:w="1224" w:type="dxa"/>
          </w:tcPr>
          <w:p w:rsidR="00F244BA" w:rsidRDefault="00AC19E4">
            <w:pPr>
              <w:pStyle w:val="CellColumn"/>
              <w:jc w:val="right"/>
            </w:pPr>
            <w:r>
              <w:rPr>
                <w:rFonts w:cs="Times New Roman"/>
              </w:rPr>
              <w:t>80,4</w:t>
            </w:r>
          </w:p>
        </w:tc>
        <w:tc>
          <w:tcPr>
            <w:tcW w:w="1224" w:type="dxa"/>
          </w:tcPr>
          <w:p w:rsidR="00F244BA" w:rsidRDefault="00AC19E4">
            <w:pPr>
              <w:pStyle w:val="CellColumn"/>
              <w:jc w:val="right"/>
            </w:pPr>
            <w:r>
              <w:rPr>
                <w:rFonts w:cs="Times New Roman"/>
              </w:rPr>
              <w:t>125,1</w:t>
            </w:r>
          </w:p>
        </w:tc>
      </w:tr>
    </w:tbl>
    <w:p w:rsidR="00F244BA" w:rsidRDefault="00F244BA">
      <w:pPr>
        <w:jc w:val="left"/>
      </w:pPr>
    </w:p>
    <w:p w:rsidR="00F244BA" w:rsidRDefault="00AC19E4">
      <w:pPr>
        <w:pStyle w:val="Naslov8"/>
        <w:jc w:val="left"/>
      </w:pPr>
      <w:r>
        <w:t>Zakonske i druge pravne osnove</w:t>
      </w:r>
    </w:p>
    <w:p w:rsidR="00F244BA" w:rsidRDefault="00AC19E4">
      <w:r>
        <w:t xml:space="preserve">- Postupno pravilo za propuštanje vozila NATO-a i EUFOR-a te vozila, kojima upravljaju djelatnici NATO-a i EUFOR-a kroz naplatne postaje na autocestama u Republici Hrvatskoj.  </w:t>
      </w:r>
    </w:p>
    <w:p w:rsidR="00F244BA" w:rsidRDefault="00AC19E4">
      <w:r>
        <w:t xml:space="preserve">- Sporazum između Republike Hrvatske i Organizacije Sjevernoatlantskog ugovora (NATO) o pravnom položaju NATO-a i njegovog osoblja od 23. studenoga 1995. godine - prilog B, Aneks 1A Općeg okvirnog sporazuma za mir u Bosni i Hercegovini (Daytonski sporazum) od 14. prosinca 1995. godine, prilog B (Appendix B to Annex 1A).  </w:t>
      </w:r>
    </w:p>
    <w:p w:rsidR="00F244BA" w:rsidRDefault="00AC19E4">
      <w:r>
        <w:t xml:space="preserve">- Tehnički dogovor između Vlade Republike Hrvatske i NATO-a od 1. ožujka 1996. godine – u aneksu br. 9. Customs and border crossing, stranici 2. poglavlja Unacocompanied equipment, provisions, supplies točci 7.a. Military transport, (iii) nalazi se podatak, kojim je određeno da NATO i EUFOR vozila ne plaćaju cestarinu u Republici Hrvatskoj. </w:t>
      </w:r>
    </w:p>
    <w:p w:rsidR="00F244BA" w:rsidRDefault="00AC19E4">
      <w:r>
        <w:t>- Pravilnik o načinu, postupku i dinamici ostvarivanja prava na nadoknadu iznosa godišnje naknade i cestarine, članak 1.</w:t>
      </w:r>
    </w:p>
    <w:p w:rsidR="00F244BA" w:rsidRDefault="00AC19E4">
      <w:pPr>
        <w:pStyle w:val="Naslov8"/>
        <w:jc w:val="left"/>
      </w:pPr>
      <w:r>
        <w:t>Opis aktivnosti</w:t>
      </w:r>
    </w:p>
    <w:p w:rsidR="00F244BA" w:rsidRDefault="00AC19E4">
      <w:r>
        <w:t xml:space="preserve">Vozila kojima upravljaju djelatnici NATO-a i EUFOR-a, prilikom prolaska kroz naplatne postaje na svim autocestama u Republici Hrvatskoj, oslobođeni su plaćanja cestarine. Naknada se obračunava prema stvarno evidentiranim prolascima i nadoknađuje se Hrvatskim autocestama d.o.o., Autocesti Zagreb-Macelj d.o.o. i Bina Istri d.d. iz Državnog proračuna Republike Hrvatske s ove aktivnosti. </w:t>
      </w:r>
    </w:p>
    <w:p w:rsidR="00F244BA" w:rsidRDefault="00AC19E4">
      <w:r>
        <w:t>Navedena sredstva su utrošena za podmirivanje neostvarenih prihoda od cestarine za prolaske vozila kojima upravljaju djelatnici NATO-a i EUFOR-a, a oslobođeni su od plaćanja cestarine sukladno navedenim zakonskim i pravnim osnovama. Odstupanje od ciljane vrijednosti uzrokovano je nemogućnošću validne procjene broja prolazaka koji su u ovisnosti s procedurama međunarodnih organizacija NATO i EUFOR.</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prolazaka NATO i EUFOR vozila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Temeljem sporazuma isplaćuje se naknada za vozila EUFOR-a i NATO-a koji su oslobođeni od plaćanja cestarine u RH</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6.400</w:t>
            </w:r>
          </w:p>
        </w:tc>
        <w:tc>
          <w:tcPr>
            <w:tcW w:w="1020" w:type="dxa"/>
          </w:tcPr>
          <w:p w:rsidR="00F244BA" w:rsidRDefault="00AC19E4">
            <w:pPr>
              <w:pStyle w:val="CellColumn"/>
              <w:jc w:val="right"/>
            </w:pPr>
            <w:r>
              <w:rPr>
                <w:rFonts w:cs="Times New Roman"/>
              </w:rPr>
              <w:t xml:space="preserve">Upravitelj autocesta     </w:t>
            </w:r>
          </w:p>
          <w:p w:rsidR="00F244BA" w:rsidRDefault="00AC19E4">
            <w:pPr>
              <w:pStyle w:val="CellColumn"/>
              <w:jc w:val="right"/>
            </w:pPr>
            <w:r>
              <w:rPr>
                <w:rFonts w:cs="Times New Roman"/>
              </w:rPr>
              <w:t>(HAC, AZM, Bina-Istra)</w:t>
            </w:r>
          </w:p>
        </w:tc>
        <w:tc>
          <w:tcPr>
            <w:tcW w:w="1020" w:type="dxa"/>
          </w:tcPr>
          <w:p w:rsidR="00F244BA" w:rsidRDefault="00AC19E4">
            <w:pPr>
              <w:pStyle w:val="CellColumn"/>
              <w:jc w:val="right"/>
            </w:pPr>
            <w:r>
              <w:rPr>
                <w:rFonts w:cs="Times New Roman"/>
              </w:rPr>
              <w:t>6.750</w:t>
            </w:r>
          </w:p>
        </w:tc>
        <w:tc>
          <w:tcPr>
            <w:tcW w:w="1020" w:type="dxa"/>
          </w:tcPr>
          <w:p w:rsidR="00F244BA" w:rsidRDefault="00AC19E4">
            <w:pPr>
              <w:pStyle w:val="CellColumn"/>
              <w:jc w:val="right"/>
            </w:pPr>
            <w:r>
              <w:rPr>
                <w:rFonts w:cs="Times New Roman"/>
              </w:rPr>
              <w:t>8.502</w:t>
            </w:r>
          </w:p>
        </w:tc>
      </w:tr>
    </w:tbl>
    <w:p w:rsidR="00F244BA" w:rsidRDefault="00F244BA">
      <w:pPr>
        <w:jc w:val="left"/>
      </w:pPr>
    </w:p>
    <w:p w:rsidR="00F244BA" w:rsidRDefault="00AC19E4">
      <w:pPr>
        <w:pStyle w:val="Naslov4"/>
      </w:pPr>
      <w:r>
        <w:t>K570344 PROVEDBA UGOVORA O KONCESIJI - AUTOCESTA ZAGREB-MACELJ</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K570344-PROVEDBA UGOVORA O KONCESIJI - AUTOCESTA ZAGREB-MACELJ</w:t>
            </w:r>
          </w:p>
        </w:tc>
        <w:tc>
          <w:tcPr>
            <w:tcW w:w="2041" w:type="dxa"/>
          </w:tcPr>
          <w:p w:rsidR="00F244BA" w:rsidRDefault="00AC19E4">
            <w:pPr>
              <w:pStyle w:val="CellColumn"/>
              <w:jc w:val="right"/>
            </w:pPr>
            <w:r>
              <w:rPr>
                <w:rFonts w:cs="Times New Roman"/>
              </w:rPr>
              <w:t>15.088.944</w:t>
            </w:r>
          </w:p>
        </w:tc>
        <w:tc>
          <w:tcPr>
            <w:tcW w:w="2041" w:type="dxa"/>
          </w:tcPr>
          <w:p w:rsidR="00F244BA" w:rsidRDefault="00AC19E4">
            <w:pPr>
              <w:pStyle w:val="CellColumn"/>
              <w:jc w:val="right"/>
            </w:pPr>
            <w:r>
              <w:rPr>
                <w:rFonts w:cs="Times New Roman"/>
              </w:rPr>
              <w:t>19.543.226</w:t>
            </w:r>
          </w:p>
        </w:tc>
        <w:tc>
          <w:tcPr>
            <w:tcW w:w="2041" w:type="dxa"/>
          </w:tcPr>
          <w:p w:rsidR="00F244BA" w:rsidRDefault="00AC19E4">
            <w:pPr>
              <w:pStyle w:val="CellColumn"/>
              <w:jc w:val="right"/>
            </w:pPr>
            <w:r>
              <w:rPr>
                <w:rFonts w:cs="Times New Roman"/>
              </w:rPr>
              <w:t>19.543.225</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129,5</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Ugovor o koncesiji između Republike Hrvatske i Autoceste Zagreb-Macelj d.o.o., za financiranje, građenje i upravljanje autocestom Zagreb-Macelj, od 11. srpnja 2003. godine, izmjene Ugovora o koncesiji između Republike Hrvatske i Autoceste Zagreb-Macelj d.o.o. od 27. studenoga 2003. godine, 20. srpnja 2004. godine, 30. lipnja 2008. godine, 23. svibnja 2011. godine (u daljnjem tekstu: Ugovor o koncesiji) </w:t>
      </w:r>
    </w:p>
    <w:p w:rsidR="00F244BA" w:rsidRDefault="00AC19E4">
      <w:r>
        <w:t>-</w:t>
      </w:r>
      <w:r>
        <w:tab/>
        <w:t xml:space="preserve">Sporazum o cestarini od 3. veljače 2006. godine, sklopljen između Republike Hrvatske i Autoceste Zagreb-Macelj d.o.o. 2011. godine, Aneks br. 1 Sporazuma o cestarini, sklopljen 29. rujna 2006. godine (u daljnjem tekstu: Sporazum o cestarini) </w:t>
      </w:r>
    </w:p>
    <w:p w:rsidR="00F244BA" w:rsidRDefault="00AC19E4">
      <w:r>
        <w:t>-</w:t>
      </w:r>
      <w:r>
        <w:tab/>
        <w:t xml:space="preserve">Ugovor o doprinosu za pad prometa u odnosu na projektiranje, građenje, financiranje i upravljanje naplatnom autocestom Zagreb-Macelj u Hrvatskoj (TSCA) od 2. rujna 2003. godine, prva izmjena od 20. srpnja 2004. godine, druga izmjena od 18. rujna 2006. godine i treća izmjena 30. lipnja 2008. godine (u daljnjem tekstu: Ugovor o doprinosu za pad prometa) </w:t>
      </w:r>
    </w:p>
    <w:p w:rsidR="00F244BA" w:rsidRDefault="00AC19E4">
      <w:r>
        <w:t>-</w:t>
      </w:r>
      <w:r>
        <w:tab/>
        <w:t xml:space="preserve">Sporazum o uređenju međusobnih odnosa u vezi održavanja dijela cestovnih objekata na autocesti A2 Zagreb-Macelj od 7. svibnja 2018. godine, člancima 41.2 i 41.8 stavkom (e) Ugovora te člankom 29. Zakona o cestama (u daljnjem tekstu: Sporazum o održavanju) </w:t>
      </w:r>
    </w:p>
    <w:p w:rsidR="00F244BA" w:rsidRDefault="00AC19E4">
      <w:r>
        <w:t>-</w:t>
      </w:r>
      <w:r>
        <w:tab/>
        <w:t xml:space="preserve">Sporazum o uređenju međusobnih odnosa u vezi pripreme projekte dokumentacije za izgradnju fotonaponskog sustava na autocesti A2 Zagreb-Macelj od 21. lipnja 2023. godine i izrađenoj projektnoj dokumentaciji i pripadajućim troškovnicima. </w:t>
      </w:r>
    </w:p>
    <w:p w:rsidR="00F244BA" w:rsidRDefault="00AC19E4">
      <w:r>
        <w:t>-</w:t>
      </w:r>
      <w:r>
        <w:tab/>
        <w:t xml:space="preserve">Zakon o cestama i Pravilnik o prometnim znakovima, signalizaciji i opremi na cestama </w:t>
      </w:r>
    </w:p>
    <w:p w:rsidR="00F244BA" w:rsidRDefault="00AC19E4">
      <w:r>
        <w:t>-</w:t>
      </w:r>
      <w:r>
        <w:tab/>
        <w:t xml:space="preserve">Pravilnik o minimalnim sigurnosnim zahtjevima za tunele </w:t>
      </w:r>
    </w:p>
    <w:p w:rsidR="00F244BA" w:rsidRDefault="00AC19E4">
      <w:r>
        <w:t>-</w:t>
      </w:r>
      <w:r>
        <w:tab/>
        <w:t>Zakon o zaštiti od svjetlosnog onečišćenja</w:t>
      </w:r>
    </w:p>
    <w:p w:rsidR="00F244BA" w:rsidRDefault="00AC19E4">
      <w:pPr>
        <w:pStyle w:val="Naslov8"/>
        <w:jc w:val="left"/>
      </w:pPr>
      <w:r>
        <w:t>Opis aktivnosti</w:t>
      </w:r>
    </w:p>
    <w:p w:rsidR="00F244BA" w:rsidRDefault="00AC19E4">
      <w:r>
        <w:t xml:space="preserve">Sva doznačena sredstva su utrošena za podmirenje kreditnih obveza te za troškove iz operativnog poslovanja Društva.  </w:t>
      </w:r>
    </w:p>
    <w:p w:rsidR="00F244BA" w:rsidRDefault="00AC19E4">
      <w:r>
        <w:t>Odstupanje od ciljane vrijednosti broja kilometara investicijski održavanih autocesta uzrokovano je više izvedenim radovima u skladu sa stvarnim stanjem prometnice.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kilometara investicijski održavanih autocesta u nadležnosti AZM-a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Sukladno obvezama proizašlih iz Ugovora o koncesiji dio sredstava namijenjen je za održavanje autocesta u nadležnosti AZM-a</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Autocesta Zagreb-Macelj d.o.o.</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9</w:t>
            </w:r>
          </w:p>
        </w:tc>
      </w:tr>
    </w:tbl>
    <w:p w:rsidR="00F244BA" w:rsidRDefault="00F244BA">
      <w:pPr>
        <w:jc w:val="left"/>
      </w:pPr>
    </w:p>
    <w:p w:rsidR="00F244BA" w:rsidRDefault="00AC19E4">
      <w:pPr>
        <w:pStyle w:val="Naslov4"/>
      </w:pPr>
      <w:r>
        <w:lastRenderedPageBreak/>
        <w:t>K754049 CEF 2017.-2019. - CROCODILE II CROATIA - UVOĐENJE INTELIGENTNIH PROMETNIH SUSTAVA (ITS) NA TNT CESTAMA</w:t>
      </w:r>
    </w:p>
    <w:tbl>
      <w:tblPr>
        <w:tblStyle w:val="StilTablice"/>
        <w:tblW w:w="10206" w:type="dxa"/>
        <w:jc w:val="center"/>
        <w:tblLook w:val="04A0" w:firstRow="1" w:lastRow="0" w:firstColumn="1" w:lastColumn="0" w:noHBand="0" w:noVBand="1"/>
      </w:tblPr>
      <w:tblGrid>
        <w:gridCol w:w="1647"/>
        <w:gridCol w:w="2037"/>
        <w:gridCol w:w="2038"/>
        <w:gridCol w:w="2037"/>
        <w:gridCol w:w="1223"/>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K754049-CEF 2017.-2019. - CROCODILE II CROATIA - UVOĐENJE INTELIGENTNIH PROMETNIH SUSTAVA (ITS) NA TNT CESTAMA</w:t>
            </w:r>
          </w:p>
        </w:tc>
        <w:tc>
          <w:tcPr>
            <w:tcW w:w="2041" w:type="dxa"/>
          </w:tcPr>
          <w:p w:rsidR="00F244BA" w:rsidRDefault="00AC19E4">
            <w:pPr>
              <w:pStyle w:val="CellColumn"/>
              <w:jc w:val="right"/>
            </w:pPr>
            <w:r>
              <w:rPr>
                <w:rFonts w:cs="Times New Roman"/>
              </w:rPr>
              <w:t>678.431</w:t>
            </w:r>
          </w:p>
        </w:tc>
        <w:tc>
          <w:tcPr>
            <w:tcW w:w="2041" w:type="dxa"/>
          </w:tcPr>
          <w:p w:rsidR="00F244BA" w:rsidRDefault="00AC19E4">
            <w:pPr>
              <w:pStyle w:val="CellColumn"/>
              <w:jc w:val="right"/>
            </w:pPr>
            <w:r>
              <w:rPr>
                <w:rFonts w:cs="Times New Roman"/>
              </w:rPr>
              <w:t>1.600.000</w:t>
            </w:r>
          </w:p>
        </w:tc>
        <w:tc>
          <w:tcPr>
            <w:tcW w:w="2041" w:type="dxa"/>
          </w:tcPr>
          <w:p w:rsidR="00F244BA" w:rsidRDefault="00AC19E4">
            <w:pPr>
              <w:pStyle w:val="CellColumn"/>
              <w:jc w:val="right"/>
            </w:pPr>
            <w:r>
              <w:rPr>
                <w:rFonts w:cs="Times New Roman"/>
              </w:rPr>
              <w:t>796.650</w:t>
            </w:r>
          </w:p>
        </w:tc>
        <w:tc>
          <w:tcPr>
            <w:tcW w:w="1224" w:type="dxa"/>
          </w:tcPr>
          <w:p w:rsidR="00F244BA" w:rsidRDefault="00AC19E4">
            <w:pPr>
              <w:pStyle w:val="CellColumn"/>
              <w:jc w:val="right"/>
            </w:pPr>
            <w:r>
              <w:rPr>
                <w:rFonts w:cs="Times New Roman"/>
              </w:rPr>
              <w:t>49,8</w:t>
            </w:r>
          </w:p>
        </w:tc>
        <w:tc>
          <w:tcPr>
            <w:tcW w:w="1224" w:type="dxa"/>
          </w:tcPr>
          <w:p w:rsidR="00F244BA" w:rsidRDefault="00AC19E4">
            <w:pPr>
              <w:pStyle w:val="CellColumn"/>
              <w:jc w:val="right"/>
            </w:pPr>
            <w:r>
              <w:rPr>
                <w:rFonts w:cs="Times New Roman"/>
              </w:rPr>
              <w:t>117,4</w:t>
            </w:r>
          </w:p>
        </w:tc>
      </w:tr>
    </w:tbl>
    <w:p w:rsidR="00F244BA" w:rsidRDefault="00F244BA">
      <w:pPr>
        <w:jc w:val="left"/>
      </w:pPr>
    </w:p>
    <w:p w:rsidR="00F244BA" w:rsidRDefault="00AC19E4">
      <w:pPr>
        <w:pStyle w:val="Naslov8"/>
        <w:jc w:val="left"/>
      </w:pPr>
      <w:r>
        <w:t>Zakonske i druge pravne osnove</w:t>
      </w:r>
    </w:p>
    <w:p w:rsidR="00F244BA" w:rsidRDefault="00AC19E4">
      <w:r>
        <w:t xml:space="preserve">- Grant Agreement number INEA/CEF/TRAN/M2015/1136493, Zakon o cestama, članak 72. b stavak 3. </w:t>
      </w:r>
    </w:p>
    <w:p w:rsidR="00F244BA" w:rsidRDefault="00AC19E4">
      <w:r>
        <w:t xml:space="preserve">- Nacionalni program za razvoj i uvođenje Inteligentnih transportnih sustava u cestovnom prometu za razdoblje od 2014. do 2018. godine </w:t>
      </w:r>
    </w:p>
    <w:p w:rsidR="00F244BA" w:rsidRDefault="00AC19E4">
      <w:r>
        <w:t xml:space="preserve">- Direktiva 2010/40/EU Europskog parlamenta i Vijeća od 7. srpnja 2010. godine o okviru za uvođenje Inteligentnih transportnih sustava u cestovnom prometu i za veze s ostalim vrstama prijevoza </w:t>
      </w:r>
    </w:p>
    <w:p w:rsidR="00F244BA" w:rsidRDefault="00AC19E4">
      <w:r>
        <w:t xml:space="preserve">- Delegirana uredba br. 886/2013 - za prioritetnu mjeru (c) podaci i postupci za pružanje korisnicima, gdje je to moguće, besplatnih osnovnih općih prometnih informacija u vezi s cestovnom sigurnosti </w:t>
      </w:r>
    </w:p>
    <w:p w:rsidR="00F244BA" w:rsidRDefault="00AC19E4">
      <w:r>
        <w:t xml:space="preserve">- Delegirana uredba br. 2015/962 - za prioritetnu mjeru (b) pružanje usluga prometnih informacija u cijeloj Europskoj uniji u realnom vremenu </w:t>
      </w:r>
    </w:p>
    <w:p w:rsidR="00F244BA" w:rsidRDefault="00AC19E4">
      <w:r>
        <w:t>- Delegirana uredba br. 885/2013 - za prioritetnu mjeru (e) pružanje usluga informiranja o sigurnim i zaštićenim parkirališnim mjestima za teretna i gospodarska vozila.</w:t>
      </w:r>
    </w:p>
    <w:p w:rsidR="00F244BA" w:rsidRDefault="00AC19E4">
      <w:pPr>
        <w:pStyle w:val="Naslov8"/>
        <w:jc w:val="left"/>
      </w:pPr>
      <w:r>
        <w:t>Opis aktivnosti</w:t>
      </w:r>
    </w:p>
    <w:p w:rsidR="00F244BA" w:rsidRDefault="00AC19E4">
      <w:r>
        <w:t xml:space="preserve">Prema Grant Agreement-u, provođenje ovog projekta planirano je kroz četiri aktivnosti: </w:t>
      </w:r>
    </w:p>
    <w:p w:rsidR="00F244BA" w:rsidRDefault="00AC19E4">
      <w:r>
        <w:t xml:space="preserve">-upravljanje projektom i prekogranična suradnja, uključujući informacije i vidljivost </w:t>
      </w:r>
    </w:p>
    <w:p w:rsidR="00F244BA" w:rsidRDefault="00AC19E4">
      <w:r>
        <w:t xml:space="preserve">-implementacija standarda DATEX II u sustavu upravljanja i kontrole prometa </w:t>
      </w:r>
    </w:p>
    <w:p w:rsidR="00F244BA" w:rsidRDefault="00AC19E4">
      <w:r>
        <w:t xml:space="preserve">-implementacija Nacionalne pristupne točke </w:t>
      </w:r>
    </w:p>
    <w:p w:rsidR="00F244BA" w:rsidRDefault="00AC19E4">
      <w:r>
        <w:t xml:space="preserve">-implementacija prioritetnih aktivnosti (c) i (e), temeljem kojih se prati provedba projekta. </w:t>
      </w:r>
    </w:p>
    <w:p w:rsidR="00F244BA" w:rsidRDefault="00AC19E4">
      <w:r>
        <w:t xml:space="preserve">Unutar navedenih aktivnosti sadržane su podaktivnosti projekta dane kako slijedi: 1.Informacije i vidljivost - 1.Konferencija za promociju projekta, uključujući 100 komada informativnih brošura s glavnim ciljevima, pristupom i očekivanim ishodom projekta, 2. Internetska stranica Crocodile II Croatia, 3. Informacije i vidljivost 4. Unaprjeđenje centara za upravljanje tunelima, Unapređenje Regionalnih centara za prometno upravljanje, uspostava Glavnih centara za kontrolu prometa - pokretanje natječaja, 5. Unapređenje centara za upravljanje tunelima, Unapređenje Regionalnih centara za prometno upravljanje, uspostava Glavnih centara za kontrolu prometa - Početak radova, 6. Unapređenje centara za upravljanje tunelima - Testiranje funkcioniranja unaprijeđenih sustava, 7. Unaprjeđenje centara za upravljanje tunelima - Uklanjanje nedostataka i dovršenje radova, 8. Unaprjeđenje Regionalnih centara za upravljanje prometom - Uklanjanje nedostataka i dovršetak radova, 9. Uspostava Glavnih centara za kontrolu prometa - Uklanjanje nedostataka i dovršetak radova, 10. Uspostava Nacionalne Pristupne Točke, 11. Ugrađena potrebna oprema za prioritetne aktivnosti (c) i (e).   </w:t>
      </w:r>
    </w:p>
    <w:p w:rsidR="00F244BA" w:rsidRDefault="00AC19E4">
      <w:r>
        <w:t xml:space="preserve">Projekt je započeo 2016. godine, a završetak je planiran do 31. prosinca 2020. godine. Uslijed pandemije COVID-19 došlo je do kašnjenja vezano uz postupke javih nabava pa je završetak projekta produžen do lipnja 2023. godine. </w:t>
      </w:r>
      <w:r>
        <w:lastRenderedPageBreak/>
        <w:t>U 2024. godini je prihvaćeno završno izvješće, temljem kojeg su obavljena završna plaćanja EU sredstava u iznosu 796.650 €.</w:t>
      </w:r>
    </w:p>
    <w:p w:rsidR="00F244BA" w:rsidRDefault="00AC19E4">
      <w:pPr>
        <w:pStyle w:val="Naslov4"/>
      </w:pPr>
      <w:r>
        <w:t>T587084 INTERREG PROJEKT ACTIVE2PUBLIC TRANSPORT - PODRŠKA BOLJEM KOMBINIRANJU BICIKLIZMA, PJEŠAČENJA I JAVNOG PRIJEVOZA U DUNAVSKOJ REGIJI</w:t>
      </w:r>
    </w:p>
    <w:tbl>
      <w:tblPr>
        <w:tblStyle w:val="StilTablice"/>
        <w:tblW w:w="10206" w:type="dxa"/>
        <w:jc w:val="center"/>
        <w:tblLook w:val="04A0" w:firstRow="1" w:lastRow="0" w:firstColumn="1" w:lastColumn="0" w:noHBand="0" w:noVBand="1"/>
      </w:tblPr>
      <w:tblGrid>
        <w:gridCol w:w="1659"/>
        <w:gridCol w:w="2034"/>
        <w:gridCol w:w="2033"/>
        <w:gridCol w:w="2034"/>
        <w:gridCol w:w="1223"/>
        <w:gridCol w:w="122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T587084-INTERREG PROJEKT ACTIVE2PUBLIC TRANSPORT - PODRŠKA BOLJEM KOMBINIRANJU BICIKLIZMA, PJEŠAČENJA I JAVNOG PRIJEVOZA U DUNAVSKOJ REGIJI</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73.443</w:t>
            </w:r>
          </w:p>
        </w:tc>
        <w:tc>
          <w:tcPr>
            <w:tcW w:w="2041" w:type="dxa"/>
          </w:tcPr>
          <w:p w:rsidR="00F244BA" w:rsidRDefault="00AC19E4">
            <w:pPr>
              <w:pStyle w:val="CellColumn"/>
              <w:jc w:val="right"/>
            </w:pPr>
            <w:r>
              <w:rPr>
                <w:rFonts w:cs="Times New Roman"/>
              </w:rPr>
              <w:t>25.599</w:t>
            </w:r>
          </w:p>
        </w:tc>
        <w:tc>
          <w:tcPr>
            <w:tcW w:w="1224" w:type="dxa"/>
          </w:tcPr>
          <w:p w:rsidR="00F244BA" w:rsidRDefault="00AC19E4">
            <w:pPr>
              <w:pStyle w:val="CellColumn"/>
              <w:jc w:val="right"/>
            </w:pPr>
            <w:r>
              <w:rPr>
                <w:rFonts w:cs="Times New Roman"/>
              </w:rPr>
              <w:t>34,9</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cestama </w:t>
      </w:r>
    </w:p>
    <w:p w:rsidR="00F244BA" w:rsidRDefault="00AC19E4">
      <w:r>
        <w:t xml:space="preserve">- Direktiva 2010/40/EU Europskog parlamenta i Vijeća od 7. srpnja 2010. godine o okviru za uvođenje inteligentnih prometnih sustava u cestovnom prometu i za veze s ostalim vrstama prijevoza </w:t>
      </w:r>
    </w:p>
    <w:p w:rsidR="00F244BA" w:rsidRDefault="00AC19E4">
      <w:r>
        <w:t>- Delegirana uredba Komisije (EU) 2017/1926 od 31. svibnja 2017. godine o dopuni Direktive 2010/40/EU Europskog parlamenta i Vijeća u pogledu pružanja informacija o multimodalnim putovanjima na razini EU-a (SL L 272, 21.10.2017.)</w:t>
      </w:r>
    </w:p>
    <w:p w:rsidR="00F244BA" w:rsidRDefault="00AC19E4">
      <w:pPr>
        <w:pStyle w:val="Naslov8"/>
        <w:jc w:val="left"/>
      </w:pPr>
      <w:r>
        <w:t>Opis aktivnosti</w:t>
      </w:r>
    </w:p>
    <w:p w:rsidR="00F244BA" w:rsidRDefault="00AC19E4">
      <w:r>
        <w:t xml:space="preserve">Ministarstvo mora, prometa i infrastrukture sudjeluje u projektu „DRP0200217 – Active2Public Transport“ uz sljedeće države: Austrija, Slovačka, Srbija, Njemačka, Mađarska, Češka, Slovenija i Rumunjska. Vodeći partner na projektu je Austrijska energetska agencija, ukupna procijenjena vrijednost projekta iznosi oko 2.800.000 €, a projekt predstavlja nastavak uspješno provedenog DTP projekta Danube Cycle Plans. </w:t>
      </w:r>
    </w:p>
    <w:p w:rsidR="00F244BA" w:rsidRDefault="00AC19E4">
      <w:r>
        <w:t xml:space="preserve">Cilj projekta je doprinos „ozelenjivanju“ energetskog i prometnog sektora u dunavskoj regiji jačanjem integracije obnovljivih izvora energije. Da bi se postiglo smanjenje prometnih emisija za 90%, kako je predviđeno Europskim zelenim planom, nužan je prelazak na električna vozila, poticanje korištenja aktivnog javnog prijevoza (posebice bicikliranje i pješačenje), omogućavanje bolje povezanosti aktivnog javnog prijevoza i sl. </w:t>
      </w:r>
    </w:p>
    <w:p w:rsidR="00F244BA" w:rsidRDefault="00AC19E4">
      <w:r>
        <w:t>Sredstva su do sada utrošena na koordinaciju projekta i provođenje projekta, odnosno na plaće članova projektnog tima. Svi sastanci s projektnim partnerima u 2024. godini održavali su se online, aktivnosti nisu zahtjevale troškove stručnjaka za potrebe provođenja A2PT projekta, a neutrošena sredstva se planiraju potrošiti do kraja trajanja projekta.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Broj izvršenih aktivnosti projekta</w:t>
            </w:r>
          </w:p>
        </w:tc>
        <w:tc>
          <w:tcPr>
            <w:tcW w:w="2551" w:type="dxa"/>
          </w:tcPr>
          <w:p w:rsidR="00F244BA" w:rsidRDefault="00AC19E4">
            <w:pPr>
              <w:pStyle w:val="CellColumn"/>
              <w:jc w:val="left"/>
            </w:pPr>
            <w:r>
              <w:rPr>
                <w:rFonts w:cs="Times New Roman"/>
              </w:rPr>
              <w:t>Izvršenjem 3 planirane aktivnosti omogućit će se unaprjeđenje kombiniranja aktivne mobilnosti i javnog prijevoza (putovanje biciklom i vlakom)</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T754082 POMOĆI BIH U PROMETNOJ POVEZANOSTI I INTEGRACIJI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T754082-POMOĆI BIH U PROMETNOJ POVEZANOSTI I INTEGRACIJI</w:t>
            </w:r>
          </w:p>
        </w:tc>
        <w:tc>
          <w:tcPr>
            <w:tcW w:w="2041" w:type="dxa"/>
          </w:tcPr>
          <w:p w:rsidR="00F244BA" w:rsidRDefault="00AC19E4">
            <w:pPr>
              <w:pStyle w:val="CellColumn"/>
              <w:jc w:val="right"/>
            </w:pPr>
            <w:r>
              <w:rPr>
                <w:rFonts w:cs="Times New Roman"/>
              </w:rPr>
              <w:t>750.000</w:t>
            </w:r>
          </w:p>
        </w:tc>
        <w:tc>
          <w:tcPr>
            <w:tcW w:w="2041" w:type="dxa"/>
          </w:tcPr>
          <w:p w:rsidR="00F244BA" w:rsidRDefault="00AC19E4">
            <w:pPr>
              <w:pStyle w:val="CellColumn"/>
              <w:jc w:val="right"/>
            </w:pPr>
            <w:r>
              <w:rPr>
                <w:rFonts w:cs="Times New Roman"/>
              </w:rPr>
              <w:t>5.137.667</w:t>
            </w:r>
          </w:p>
        </w:tc>
        <w:tc>
          <w:tcPr>
            <w:tcW w:w="2041" w:type="dxa"/>
          </w:tcPr>
          <w:p w:rsidR="00F244BA" w:rsidRDefault="00AC19E4">
            <w:pPr>
              <w:pStyle w:val="CellColumn"/>
              <w:jc w:val="right"/>
            </w:pPr>
            <w:r>
              <w:rPr>
                <w:rFonts w:cs="Times New Roman"/>
              </w:rPr>
              <w:t>3.343.841</w:t>
            </w:r>
          </w:p>
        </w:tc>
        <w:tc>
          <w:tcPr>
            <w:tcW w:w="1224" w:type="dxa"/>
          </w:tcPr>
          <w:p w:rsidR="00F244BA" w:rsidRDefault="00AC19E4">
            <w:pPr>
              <w:pStyle w:val="CellColumn"/>
              <w:jc w:val="right"/>
            </w:pPr>
            <w:r>
              <w:rPr>
                <w:rFonts w:cs="Times New Roman"/>
              </w:rPr>
              <w:t>65,1</w:t>
            </w:r>
          </w:p>
        </w:tc>
        <w:tc>
          <w:tcPr>
            <w:tcW w:w="1224" w:type="dxa"/>
          </w:tcPr>
          <w:p w:rsidR="00F244BA" w:rsidRDefault="00AC19E4">
            <w:pPr>
              <w:pStyle w:val="CellColumn"/>
              <w:jc w:val="right"/>
            </w:pPr>
            <w:r>
              <w:rPr>
                <w:rFonts w:cs="Times New Roman"/>
              </w:rPr>
              <w:t>445,8</w:t>
            </w:r>
          </w:p>
        </w:tc>
      </w:tr>
    </w:tbl>
    <w:p w:rsidR="00F244BA" w:rsidRDefault="00F244BA">
      <w:pPr>
        <w:jc w:val="left"/>
      </w:pPr>
    </w:p>
    <w:p w:rsidR="00F244BA" w:rsidRDefault="00AC19E4">
      <w:pPr>
        <w:pStyle w:val="Naslov8"/>
        <w:jc w:val="left"/>
      </w:pPr>
      <w:r>
        <w:t>Zakonske i druge pravne osnove</w:t>
      </w:r>
    </w:p>
    <w:p w:rsidR="00F244BA" w:rsidRDefault="00AC19E4">
      <w:r>
        <w:t>- Odluka Vlade Republike Hrvatske vezano za sufinanciranje projekta izgradnje regionalne ceste R428 na dionici Zavala - Orahov Do - Granica RH (Slano) u duljini od 10 kilometara</w:t>
      </w:r>
    </w:p>
    <w:p w:rsidR="00F244BA" w:rsidRDefault="00AC19E4">
      <w:pPr>
        <w:pStyle w:val="Naslov8"/>
        <w:jc w:val="left"/>
      </w:pPr>
      <w:r>
        <w:t>Opis aktivnosti</w:t>
      </w:r>
    </w:p>
    <w:p w:rsidR="00F244BA" w:rsidRDefault="00AC19E4">
      <w:r>
        <w:t xml:space="preserve">Cilj projekta je prometno povezati i integrirati općinu Ravno (BiH) s njezinim prirodnim prometnim okruženjem, u Bosni i Hercegovini i u Republici Hrvatskoj. U tom smislu nezaobilazna i od velike važnosti je prometna veza prekograničnog cestovnog pravca Ravno-Zavala-Orahov Do-Granica RH (Slano). Na navednom pravcu na području općine Ravno egzistira regionalna cesta R428 u dužini od 19 km koja se na GP Slano spaja na županijsku cestu ŽC6232 u Republici Hrvatskoj. Predmetna cesta podijeljena je na tri dionice od kojih je prva dionica u dužini od 4 km u fazi rekonstrukcije sa očekivanim završetkom radova do kraja 2025. godine, dok je druga dionica u dužini od 5 km rekonstruirana 2009. godine i u dobrom je stanju. Republika Hrvatska sufinancira izgradnju treće dionice navedene ceste Zavala-Orahov Do-Granica RH (Slano) u dužini od 10 km. </w:t>
      </w:r>
    </w:p>
    <w:p w:rsidR="00F244BA" w:rsidRDefault="00AC19E4">
      <w:r>
        <w:t>Odstupanje od ciljane vrijednosti uzrokovano je dugotrajnim procesima javne nabave za odabir projektanta i izvođača radova, a izvoditelj radova je uveden u posao 5. prosinca 2023. godine. Tijekom 2024. godine isplaćena su sredstva u ukupnom iznosu od 3.343.840,51 €, dok su u 2023. godini isplaćena sredstva u iznosu od 750.000 €, što ukupno iznosi 4.093.840,51 €. Očekuje se da bi radovi na izgradnji predmetne ceste bili završeni do srpnja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novoizgrađenih kilometara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Izgradnja dionice Zavala-Orahov Do-Granica RH (Slano) pridonosi kvalitetnijoj prometnoj povezanosti RH i BiH.</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Općina Ravno (BiH)</w:t>
            </w:r>
          </w:p>
        </w:tc>
        <w:tc>
          <w:tcPr>
            <w:tcW w:w="1020" w:type="dxa"/>
          </w:tcPr>
          <w:p w:rsidR="00F244BA" w:rsidRDefault="00AC19E4">
            <w:pPr>
              <w:pStyle w:val="CellColumn"/>
              <w:jc w:val="right"/>
            </w:pPr>
            <w:r>
              <w:rPr>
                <w:rFonts w:cs="Times New Roman"/>
              </w:rPr>
              <w:t>10,00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lastRenderedPageBreak/>
        <w:t>T810065 CEF PSA - RAZVOJ STANDARDA ZA PRUŽANJE MULTIMODALNIH PUTNIH INFORMACIJA</w:t>
      </w:r>
    </w:p>
    <w:tbl>
      <w:tblPr>
        <w:tblStyle w:val="StilTablice"/>
        <w:tblW w:w="10206" w:type="dxa"/>
        <w:jc w:val="center"/>
        <w:tblLook w:val="04A0" w:firstRow="1" w:lastRow="0" w:firstColumn="1" w:lastColumn="0" w:noHBand="0" w:noVBand="1"/>
      </w:tblPr>
      <w:tblGrid>
        <w:gridCol w:w="1836"/>
        <w:gridCol w:w="1983"/>
        <w:gridCol w:w="1975"/>
        <w:gridCol w:w="1984"/>
        <w:gridCol w:w="1211"/>
        <w:gridCol w:w="1217"/>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T810065-CEF PSA - RAZVOJ STANDARDA ZA PRUŽANJE MULTIMODALNIH PUTNIH INFORMACIJA</w:t>
            </w:r>
          </w:p>
        </w:tc>
        <w:tc>
          <w:tcPr>
            <w:tcW w:w="2041" w:type="dxa"/>
          </w:tcPr>
          <w:p w:rsidR="00F244BA" w:rsidRDefault="00AC19E4">
            <w:pPr>
              <w:pStyle w:val="CellColumn"/>
              <w:jc w:val="right"/>
            </w:pPr>
            <w:r>
              <w:rPr>
                <w:rFonts w:cs="Times New Roman"/>
              </w:rPr>
              <w:t>16.634</w:t>
            </w:r>
          </w:p>
        </w:tc>
        <w:tc>
          <w:tcPr>
            <w:tcW w:w="2041" w:type="dxa"/>
          </w:tcPr>
          <w:p w:rsidR="00F244BA" w:rsidRDefault="00AC19E4">
            <w:pPr>
              <w:pStyle w:val="CellColumn"/>
              <w:jc w:val="right"/>
            </w:pPr>
            <w:r>
              <w:rPr>
                <w:rFonts w:cs="Times New Roman"/>
              </w:rPr>
              <w:t>25.319</w:t>
            </w:r>
          </w:p>
        </w:tc>
        <w:tc>
          <w:tcPr>
            <w:tcW w:w="2041" w:type="dxa"/>
          </w:tcPr>
          <w:p w:rsidR="00F244BA" w:rsidRDefault="00AC19E4">
            <w:pPr>
              <w:pStyle w:val="CellColumn"/>
              <w:jc w:val="right"/>
            </w:pPr>
            <w:r>
              <w:rPr>
                <w:rFonts w:cs="Times New Roman"/>
              </w:rPr>
              <w:t>10.032</w:t>
            </w:r>
          </w:p>
        </w:tc>
        <w:tc>
          <w:tcPr>
            <w:tcW w:w="1224" w:type="dxa"/>
          </w:tcPr>
          <w:p w:rsidR="00F244BA" w:rsidRDefault="00AC19E4">
            <w:pPr>
              <w:pStyle w:val="CellColumn"/>
              <w:jc w:val="right"/>
            </w:pPr>
            <w:r>
              <w:rPr>
                <w:rFonts w:cs="Times New Roman"/>
              </w:rPr>
              <w:t>39,6</w:t>
            </w:r>
          </w:p>
        </w:tc>
        <w:tc>
          <w:tcPr>
            <w:tcW w:w="1224" w:type="dxa"/>
          </w:tcPr>
          <w:p w:rsidR="00F244BA" w:rsidRDefault="00AC19E4">
            <w:pPr>
              <w:pStyle w:val="CellColumn"/>
              <w:jc w:val="right"/>
            </w:pPr>
            <w:r>
              <w:rPr>
                <w:rFonts w:cs="Times New Roman"/>
              </w:rPr>
              <w:t>60,3</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cestama    </w:t>
      </w:r>
    </w:p>
    <w:p w:rsidR="00F244BA" w:rsidRDefault="00AC19E4">
      <w:r>
        <w:t xml:space="preserve">- Direktiva 2010/40/EU Europskog parlamenta i Vijeća od 7. srpnja 2010. godine o okviru za uvođenje inteligentnih prometnih sustava u cestovnom prometu i za veze s ostalim vrstama prijevoza   </w:t>
      </w:r>
    </w:p>
    <w:p w:rsidR="00F244BA" w:rsidRDefault="00AC19E4">
      <w:r>
        <w:t xml:space="preserve">- Delegirana uredba Komisije (EU) 2017/1926 od 31. svibnja 2017. godine o dopuni Direktive 2010/40/EU Europskog parlamenta i Vijeća u pogledu pružanja informacija o multimodalnim putovanjima na razini EU-a (SL L 272, 21.10.2017.)   </w:t>
      </w:r>
    </w:p>
    <w:p w:rsidR="00F244BA" w:rsidRDefault="00AC19E4">
      <w:r>
        <w:t>- Grant Agreement No MOVE/B4/SUB/2019-104/CEF/PSA/SI2.821136</w:t>
      </w:r>
    </w:p>
    <w:p w:rsidR="00F244BA" w:rsidRDefault="00AC19E4">
      <w:pPr>
        <w:pStyle w:val="Naslov8"/>
        <w:jc w:val="left"/>
      </w:pPr>
      <w:r>
        <w:t>Opis aktivnosti</w:t>
      </w:r>
    </w:p>
    <w:p w:rsidR="00F244BA" w:rsidRDefault="00AC19E4">
      <w:r>
        <w:t xml:space="preserve">Izvršenjem projekta omogućiti će se ostvarenje tehničkih i organizacijskih aktivnosti za olakšavanje razvoja i uvođenja europskih standarda za pružanje multimodalnih putnih informacija (Transmodel, NeTEx i SIRI) na razini Europske unije koje se primjenjuju na TEN-T cestovnoj mreži, uključujući urbana čvorišta. U projektu osim Hrvatske sudjeluju države članice EU, i to: Austrija, Češka, Francuska, Njemačka, Italija, Portugal, Slovenija, Švedska.    </w:t>
      </w:r>
    </w:p>
    <w:p w:rsidR="00F244BA" w:rsidRDefault="00AC19E4">
      <w:r>
        <w:t xml:space="preserve">Provođenje ove aktivnosti planirano je kroz sudjelovanje u slijedećim aktivnostima projekta:    </w:t>
      </w:r>
    </w:p>
    <w:p w:rsidR="00F244BA" w:rsidRDefault="00AC19E4">
      <w:r>
        <w:t xml:space="preserve">1. Koordinacija projekta: upravljanje projektom, sudjelovanje na radionicama (forumima), izradu komunikacijske strategije, izradu alata i materijala koji uključuju izradu web stranice, letaka i sl..   </w:t>
      </w:r>
    </w:p>
    <w:p w:rsidR="00F244BA" w:rsidRDefault="00AC19E4">
      <w:r>
        <w:t xml:space="preserve">2. Razvoj projekta: prikupljanje potreba i zahtjeva država članica, priprema specifikacija za razvoj i/ili nadogradnju alata za provjeru otvorenog koda na temelju zahtjeva koje su države članice izrazile, ispitna/testna platforma za provođenje postupka usklađenosti.  </w:t>
      </w:r>
    </w:p>
    <w:p w:rsidR="00F244BA" w:rsidRDefault="00AC19E4">
      <w:r>
        <w:t xml:space="preserve">3. Podrška u implementaciji: priprema tehničke dokumentacije i održavanje iste, formiranje stručnog tima za provođenje projekta, edukacija stručnjaka, ažuriranje i pregled standarda, pripremu profila.  </w:t>
      </w:r>
    </w:p>
    <w:p w:rsidR="00F244BA" w:rsidRDefault="00AC19E4">
      <w:r>
        <w:t xml:space="preserve">4. Primjena u praksi: operativna uporaba razvijenih alata, uključivanje gradova, regija i javnih prijevoznika u istu te izrada izvješća za navedeno.  </w:t>
      </w:r>
    </w:p>
    <w:p w:rsidR="00F244BA" w:rsidRDefault="00AC19E4">
      <w:r>
        <w:t xml:space="preserve">5. Diseminacija, procjena i održivost: održavanje lokalnih radionica, promocija, provođenja konferencija i završne konferencije, evaluacija projekta te procjena rezultata.   </w:t>
      </w:r>
    </w:p>
    <w:p w:rsidR="00F244BA" w:rsidRDefault="00AC19E4">
      <w:r>
        <w:t xml:space="preserve">Ukupno vrijednost projekta prema Grant Agreementu iznosi 1.998.560 €. Projekt se sufinancira sredstvima Europske unije u 80%-om iznosu. Vrijednost projekta koji se odnosi na Ministarstvo mora, prometa i infrastrukture iznosi 54.000 €, od čega su 43.200 € bespovratna sredstva. Navedeni iznos se odnosi na troškove službenika koji sudjeluju na projektu (trošak plaće, putni troškovi) te su isti ravnomjerno raspoređeni kroz 3 godine.  </w:t>
      </w:r>
    </w:p>
    <w:p w:rsidR="00F244BA" w:rsidRDefault="00AC19E4">
      <w:r>
        <w:t xml:space="preserve">Predviđeno vrijeme trajanja projekta je od 2020. do 2023. godine. Izmjenom ugovora o provedbi projekta trajanje projekta je produženo do 30. lipnja 2024. godine te su sve aktivnosti završene u roku. </w:t>
      </w:r>
    </w:p>
    <w:p w:rsidR="00F244BA" w:rsidRDefault="00AC19E4">
      <w:r>
        <w:t>Sredstva su utrošena na koordinaciju projekta i provođenje projekta, odnosno na plaće članova projektnog tima. Hrvatske ceste d.o.o. su dostupne podatke u Nacionalnoj pristupnoj točki testirale s razvijenim alatom u sklopu projekta za validaciju raspoloživih podataka u NETEX profilu. Projekt je uspješno završen.</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izvršenih aktivnosti projekta koje će biti razrađene Nacrtom Grant Argumenta</w:t>
            </w:r>
          </w:p>
        </w:tc>
        <w:tc>
          <w:tcPr>
            <w:tcW w:w="2551" w:type="dxa"/>
          </w:tcPr>
          <w:p w:rsidR="00F244BA" w:rsidRDefault="00AC19E4">
            <w:pPr>
              <w:pStyle w:val="CellColumn"/>
              <w:jc w:val="left"/>
            </w:pPr>
            <w:r>
              <w:rPr>
                <w:rFonts w:cs="Times New Roman"/>
              </w:rPr>
              <w:t>Izvršenje 5 aktivnosti definiranih Grant ugovorom omogućit će ostvarenje tehničkih i organizacijskih aktivnosti za olakšavanje razvoja i uvođenja europskih standarda za pružanje multimodalnih putnih informacija na razini EU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5</w:t>
            </w:r>
          </w:p>
        </w:tc>
      </w:tr>
    </w:tbl>
    <w:p w:rsidR="00F244BA" w:rsidRDefault="00F244BA">
      <w:pPr>
        <w:jc w:val="left"/>
      </w:pPr>
    </w:p>
    <w:p w:rsidR="00F244BA" w:rsidRDefault="00AC19E4">
      <w:pPr>
        <w:pStyle w:val="Naslov4"/>
      </w:pPr>
      <w:r>
        <w:t>T819077 CEF PSA NAPCOORE PROJEKT-PROGRAMSKA PODRŠKA ZA PROVEDBU MEHANIZMA KOORDINACIJE ZA OBJEDINJAVANJE NACIONALNIH PRISTUPNIH TOČAKA</w:t>
      </w:r>
    </w:p>
    <w:tbl>
      <w:tblPr>
        <w:tblStyle w:val="StilTablice"/>
        <w:tblW w:w="10206" w:type="dxa"/>
        <w:jc w:val="center"/>
        <w:tblLook w:val="04A0" w:firstRow="1" w:lastRow="0" w:firstColumn="1" w:lastColumn="0" w:noHBand="0" w:noVBand="1"/>
      </w:tblPr>
      <w:tblGrid>
        <w:gridCol w:w="1803"/>
        <w:gridCol w:w="1992"/>
        <w:gridCol w:w="1986"/>
        <w:gridCol w:w="1993"/>
        <w:gridCol w:w="1214"/>
        <w:gridCol w:w="1218"/>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T819077-CEF PSA NAPCOORE PROJEKT-PROGRAMSKA PODRŠKA ZA PROVEDBU MEHANIZMA KOORDINACIJE ZA OBJEDINJAVANJE NACIONALNIH PRISTUPNIH TOČAKA</w:t>
            </w:r>
          </w:p>
        </w:tc>
        <w:tc>
          <w:tcPr>
            <w:tcW w:w="2041" w:type="dxa"/>
          </w:tcPr>
          <w:p w:rsidR="00F244BA" w:rsidRDefault="00AC19E4">
            <w:pPr>
              <w:pStyle w:val="CellColumn"/>
              <w:jc w:val="right"/>
            </w:pPr>
            <w:r>
              <w:rPr>
                <w:rFonts w:cs="Times New Roman"/>
              </w:rPr>
              <w:t>18.110</w:t>
            </w:r>
          </w:p>
        </w:tc>
        <w:tc>
          <w:tcPr>
            <w:tcW w:w="2041" w:type="dxa"/>
          </w:tcPr>
          <w:p w:rsidR="00F244BA" w:rsidRDefault="00AC19E4">
            <w:pPr>
              <w:pStyle w:val="CellColumn"/>
              <w:jc w:val="right"/>
            </w:pPr>
            <w:r>
              <w:rPr>
                <w:rFonts w:cs="Times New Roman"/>
              </w:rPr>
              <w:t>94.612</w:t>
            </w:r>
          </w:p>
        </w:tc>
        <w:tc>
          <w:tcPr>
            <w:tcW w:w="2041" w:type="dxa"/>
          </w:tcPr>
          <w:p w:rsidR="00F244BA" w:rsidRDefault="00AC19E4">
            <w:pPr>
              <w:pStyle w:val="CellColumn"/>
              <w:jc w:val="right"/>
            </w:pPr>
            <w:r>
              <w:rPr>
                <w:rFonts w:cs="Times New Roman"/>
              </w:rPr>
              <w:t>75.469</w:t>
            </w:r>
          </w:p>
        </w:tc>
        <w:tc>
          <w:tcPr>
            <w:tcW w:w="1224" w:type="dxa"/>
          </w:tcPr>
          <w:p w:rsidR="00F244BA" w:rsidRDefault="00AC19E4">
            <w:pPr>
              <w:pStyle w:val="CellColumn"/>
              <w:jc w:val="right"/>
            </w:pPr>
            <w:r>
              <w:rPr>
                <w:rFonts w:cs="Times New Roman"/>
              </w:rPr>
              <w:t>79,8</w:t>
            </w:r>
          </w:p>
        </w:tc>
        <w:tc>
          <w:tcPr>
            <w:tcW w:w="1224" w:type="dxa"/>
          </w:tcPr>
          <w:p w:rsidR="00F244BA" w:rsidRDefault="00AC19E4">
            <w:pPr>
              <w:pStyle w:val="CellColumn"/>
              <w:jc w:val="right"/>
            </w:pPr>
            <w:r>
              <w:rPr>
                <w:rFonts w:cs="Times New Roman"/>
              </w:rPr>
              <w:t>416,7</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cestama    </w:t>
      </w:r>
    </w:p>
    <w:p w:rsidR="00F244BA" w:rsidRDefault="00AC19E4">
      <w:r>
        <w:t xml:space="preserve">- Direktiva 2010/40/EU Europskog parlamenta i Vijeća od 7. srpnja 2010. godine o okviru za uvođenje inteligentnih prometnih sustava u cestovnom prometu i za veze s ostalim vrstama prijevoza   </w:t>
      </w:r>
    </w:p>
    <w:p w:rsidR="00F244BA" w:rsidRDefault="00AC19E4">
      <w:r>
        <w:t xml:space="preserve">- Delegirana uredba br. 886/2013 - za prioritetnu mjeru (c) podaci i postupci za pružanje korisnicima, gdje je to moguće, besplatnih osnovnih općih prometnih informacija u vezi s cestovnom sigurnosti,   </w:t>
      </w:r>
    </w:p>
    <w:p w:rsidR="00F244BA" w:rsidRDefault="00AC19E4">
      <w:r>
        <w:t xml:space="preserve">- Delegirana uredba br. 2015/962 - za prioritetnu mjeru (b) pružanje usluga prometnih informacija u cijeloj Europskoj uniji u realnom vremenu,    </w:t>
      </w:r>
    </w:p>
    <w:p w:rsidR="00F244BA" w:rsidRDefault="00AC19E4">
      <w:r>
        <w:t xml:space="preserve">- Delegirana uredba br. 885/2013 - za prioritetnu mjeru (e) pružanje usluga informiranja o sigurnim i zaštićenim parkirališnim mjestima za teretna i gospodarska vozila  </w:t>
      </w:r>
    </w:p>
    <w:p w:rsidR="00F244BA" w:rsidRDefault="00AC19E4">
      <w:r>
        <w:t xml:space="preserve">- Delegirana uredba Komisije (EU) 2017/1926 od 31. svibnja 2017. godine o dopuni Direktive 2010/40/EU Europskog parlamenta i Vijeća u pogledu pružanja informacija o multimodalnim putovanjima na razini EU-a (SL L 272, 21.10.2017.)   </w:t>
      </w:r>
    </w:p>
    <w:p w:rsidR="00F244BA" w:rsidRDefault="00AC19E4">
      <w:r>
        <w:t>- Grant Agreement No: MOVE/B4/SUB/2020-123/SI2.852232</w:t>
      </w:r>
    </w:p>
    <w:p w:rsidR="00F244BA" w:rsidRDefault="00AC19E4">
      <w:pPr>
        <w:pStyle w:val="Naslov8"/>
        <w:jc w:val="left"/>
      </w:pPr>
      <w:r>
        <w:lastRenderedPageBreak/>
        <w:t>Opis aktivnosti</w:t>
      </w:r>
    </w:p>
    <w:p w:rsidR="00F244BA" w:rsidRDefault="00AC19E4">
      <w:r>
        <w:t xml:space="preserve">Izvršenjem projekta omogućiti će se ostvarenje tehničkih i organizacijskih aktivnosti za unaprjeđenje i koordiniranje Nacionalnih pristupnih točaka uspostavljenih temeljem ITS Direktive 2010/40EU. U projektu, osim Hrvatske, sudjeluju države članice EU. Konzorcij se sastoji od sljedećih zemalja: Austrija, Belgija, Bugarska, Cipar, Češka, Danska, Estonija, Finska, Francuska, Grčka, Hrvatska, Irska, Italija, Latvija, Litva, Luksemburg, Mađarska, Malta, Nizozemska, Norveška, Njemačka, Poljska, Portugal, Rumunjska, Slovačka, Slovenija, Španjolska, Švedska, Švicarska, a pridružene su mu i međunarodne organizacije: UITP (Union Internationale des Transports Publics), ITxPT (Information Technology for Public Transport), ERTICO, te Highways England. </w:t>
      </w:r>
    </w:p>
    <w:p w:rsidR="00F244BA" w:rsidRDefault="00AC19E4">
      <w:r>
        <w:t xml:space="preserve">Ciljevi PSA NAPCORE projekta su: </w:t>
      </w:r>
    </w:p>
    <w:p w:rsidR="00F244BA" w:rsidRDefault="00AC19E4">
      <w:r>
        <w:t></w:t>
      </w:r>
      <w:r>
        <w:tab/>
        <w:t xml:space="preserve">uspostavljanje strukture dugoročnog upravljanja, kako bi se olakšala nacionalna i europska operativna koordinacija za provedbu europskih specifikacija </w:t>
      </w:r>
    </w:p>
    <w:p w:rsidR="00F244BA" w:rsidRDefault="00AC19E4">
      <w:r>
        <w:t></w:t>
      </w:r>
      <w:r>
        <w:tab/>
        <w:t xml:space="preserve">usklađenje i razvoj NPT-ova, kako bi se poboljšala kompatibilnost i interoperabilnost značajki; </w:t>
      </w:r>
    </w:p>
    <w:p w:rsidR="00F244BA" w:rsidRDefault="00AC19E4">
      <w:r>
        <w:t></w:t>
      </w:r>
      <w:r>
        <w:tab/>
        <w:t xml:space="preserve">dizajn i razvoj zajedničkih alata koji se odnose na dostupnost i razmjenu podataka </w:t>
      </w:r>
    </w:p>
    <w:p w:rsidR="00F244BA" w:rsidRDefault="00AC19E4">
      <w:r>
        <w:t></w:t>
      </w:r>
      <w:r>
        <w:tab/>
        <w:t xml:space="preserve">planiranje i koordinacija inicijative za prikupljanje podataka </w:t>
      </w:r>
    </w:p>
    <w:p w:rsidR="00F244BA" w:rsidRDefault="00AC19E4">
      <w:r>
        <w:t></w:t>
      </w:r>
      <w:r>
        <w:tab/>
        <w:t xml:space="preserve">usklađenje ocjene usklađenosti. </w:t>
      </w:r>
    </w:p>
    <w:p w:rsidR="00F244BA" w:rsidRDefault="00AC19E4">
      <w:r>
        <w:t>Sredstva su do sada utrošena na koordinaciju projekta i provođenje projekta, odnosno na plaće članova projektnog tima. Ministarstvo je, u suradnji s partnerom na projektu društvom Hrvatske ceste d.o.o., sudjelovalo na online sastancima. Do sada provedene aktivnosti nisu zahtijevale troškove vanjskih stručnjaka za potrebe unaprjeđenja nacionalne pristupne točke koja je smještena u Karlovcu te je došlo do znatno manjeg utroška sredstava od planiranih.</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izvršenih aktivnosti projekta koje će biti razrađene Nacrtom Grant Argumenta</w:t>
            </w:r>
          </w:p>
        </w:tc>
        <w:tc>
          <w:tcPr>
            <w:tcW w:w="2551" w:type="dxa"/>
          </w:tcPr>
          <w:p w:rsidR="00F244BA" w:rsidRDefault="00AC19E4">
            <w:pPr>
              <w:pStyle w:val="CellColumn"/>
              <w:jc w:val="left"/>
            </w:pPr>
            <w:r>
              <w:rPr>
                <w:rFonts w:cs="Times New Roman"/>
              </w:rPr>
              <w:t>Izvršenje 3 aktivnosti definiranih Grant ugovorom omogućit će ostvarenje tehničkih i organizacijskih aktivnosti za koordinaciju nacionalnih pristupnih točaka za pružanje prometnih informacija na razini EU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T821083 CEF X4ITS PROJEKT - SREDNJOEUROPSKA PREKOGRANIČNA SURADNJA ZA INTELIGENTNE TRANSPORTNE SUSTAVE (ITS)</w:t>
      </w:r>
    </w:p>
    <w:tbl>
      <w:tblPr>
        <w:tblStyle w:val="StilTablice"/>
        <w:tblW w:w="10206" w:type="dxa"/>
        <w:jc w:val="center"/>
        <w:tblLook w:val="04A0" w:firstRow="1" w:lastRow="0" w:firstColumn="1" w:lastColumn="0" w:noHBand="0" w:noVBand="1"/>
      </w:tblPr>
      <w:tblGrid>
        <w:gridCol w:w="2048"/>
        <w:gridCol w:w="1923"/>
        <w:gridCol w:w="1905"/>
        <w:gridCol w:w="1923"/>
        <w:gridCol w:w="1198"/>
        <w:gridCol w:w="1209"/>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T821083-CEF X4ITS PROJEKT - SREDNJOEUROPSKA PREKOGRANIČNA SURADNJA ZA INTELIGENTNE TRANSPORTNE SUSTAVE (ITS)</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62.400</w:t>
            </w:r>
          </w:p>
        </w:tc>
        <w:tc>
          <w:tcPr>
            <w:tcW w:w="2041" w:type="dxa"/>
          </w:tcPr>
          <w:p w:rsidR="00F244BA" w:rsidRDefault="00AC19E4">
            <w:pPr>
              <w:pStyle w:val="CellColumn"/>
              <w:jc w:val="right"/>
            </w:pPr>
            <w:r>
              <w:rPr>
                <w:rFonts w:cs="Times New Roman"/>
              </w:rPr>
              <w:t>33.836</w:t>
            </w:r>
          </w:p>
        </w:tc>
        <w:tc>
          <w:tcPr>
            <w:tcW w:w="1224" w:type="dxa"/>
          </w:tcPr>
          <w:p w:rsidR="00F244BA" w:rsidRDefault="00AC19E4">
            <w:pPr>
              <w:pStyle w:val="CellColumn"/>
              <w:jc w:val="right"/>
            </w:pPr>
            <w:r>
              <w:rPr>
                <w:rFonts w:cs="Times New Roman"/>
              </w:rPr>
              <w:t>54,2</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cestama    </w:t>
      </w:r>
    </w:p>
    <w:p w:rsidR="00F244BA" w:rsidRDefault="00AC19E4">
      <w:r>
        <w:lastRenderedPageBreak/>
        <w:t xml:space="preserve">- Direktiva 2010/40/EU Europskog parlamenta i Vijeća od 7. srpnja 2010. godine o okviru za uvođenje inteligentnih prometnih sustava u cestovnom prometu i za veze s ostalim vrstama prijevoza   </w:t>
      </w:r>
    </w:p>
    <w:p w:rsidR="00F244BA" w:rsidRDefault="00AC19E4">
      <w:r>
        <w:t xml:space="preserve">- Delegirana uredba Komisije (EU) 2017/1926 od 31. svibnja 2017. godine o dopuni Direktive 2010/40/EU Europskog parlamenta i Vijeća u pogledu pružanja informacija o multimodalnim putovanjima na razini EU-a (SL L 272, 21.10.2017.)   </w:t>
      </w:r>
    </w:p>
    <w:p w:rsidR="00F244BA" w:rsidRDefault="00AC19E4">
      <w:r>
        <w:t>- Grant Agreement: Project 101122492 — 22-EU-TG-X4ITS</w:t>
      </w:r>
    </w:p>
    <w:p w:rsidR="00F244BA" w:rsidRDefault="00AC19E4">
      <w:pPr>
        <w:pStyle w:val="Naslov8"/>
        <w:jc w:val="left"/>
      </w:pPr>
      <w:r>
        <w:t>Opis aktivnosti</w:t>
      </w:r>
    </w:p>
    <w:p w:rsidR="00F244BA" w:rsidRDefault="00AC19E4">
      <w:r>
        <w:t xml:space="preserve">Ministarstvo mora, prometa i infrastrukture, sudjeluje s 50 % troškova na projektu „Central European cross-border cooperation for ITS – X4ITS“ pod temom „CEF-T-2022-SIMOBGEN-ITS-WORKS: ITS – studies, works or mixed”, zajedno s koordinatorom projekta-Austrijom te ostalim sudionicima: Češkom, Mađarskom, Slovenijom i Rumunjskom. Predviđa se da će projekt završiti 28. veljače 2027. godine. </w:t>
      </w:r>
    </w:p>
    <w:p w:rsidR="00F244BA" w:rsidRDefault="00AC19E4">
      <w:r>
        <w:t xml:space="preserve">Ministarstvo mora, prometa i infrastrukture u projektu će sudjelovati kao korisnik, a Hrvatske autoceste d.o.o., Autocesta Zagreb - Macelj d.o.o., Bina - Istra d.d. i Hrvatske ceste d.o.o. kao povezani subjekti. Svaki sudionik projekta (povezani subjekt) osigurava nacionalnu komponentu u projektu. </w:t>
      </w:r>
    </w:p>
    <w:p w:rsidR="00F244BA" w:rsidRDefault="00AC19E4">
      <w:r>
        <w:t xml:space="preserve">Ovaj projekt predstavlja nastavak već uspješno provedenih projekata Crocodile 2 (uvođenje DATEX II protokola) i Crocodile 3 (proširenje DATEX II protokola), sukladno Direktivi 2010/40/EU iz područja ITS-a. Navedenim projektom će se instalirati ITS oprema u zgradama za upravljanje prometom (zamjena hardverske opreme za prikupljanje podataka iz sustava za kontrolu prometa radi dostave pouzdanih podataka u Nacionalnu pristupnu točku) te ITS oprema na autocestama i državnim cestama (digitalizacija video sustava autoceste kojim će se sudionicima u prometu osigurati pružanje informacija u stvarnom vremenu, kako bi se pojednostavnio izbor rute putovanja i smanjio utjecaj zagušenja u prometu). </w:t>
      </w:r>
    </w:p>
    <w:p w:rsidR="00F244BA" w:rsidRDefault="00AC19E4">
      <w:r>
        <w:t>Sredstva su do sada utrošena na koordinaciju projekta i provođenje projekta, odnosno na plaće članova projektnog tima. Ministarstvo je sudjelovao na svim online sastancima. Do sada provedene aktivnosti nisu zahtjevale troškove stručnjaka za potrebe provođenja X4ITS projekta, a neutrošena sredstva se planiraju utrošiti do kraja trajanja projekta.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izvršenih aktivnosti projekta koje će biti razrađene Nacrtom Grant Argeementa</w:t>
            </w:r>
          </w:p>
        </w:tc>
        <w:tc>
          <w:tcPr>
            <w:tcW w:w="2551" w:type="dxa"/>
          </w:tcPr>
          <w:p w:rsidR="00F244BA" w:rsidRDefault="00AC19E4">
            <w:pPr>
              <w:pStyle w:val="CellColumn"/>
              <w:jc w:val="left"/>
            </w:pPr>
            <w:r>
              <w:rPr>
                <w:rFonts w:cs="Times New Roman"/>
              </w:rPr>
              <w:t>Izvršenje 6 aktivnosti definiranih Grant ugovorom omogućit će poboljšanje prekograničnog prometa provedbom usklađenih i sinkroniziranih ITS aplikacija na cestovnoj mreži.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3"/>
      </w:pPr>
      <w:r>
        <w:rPr>
          <w:rFonts w:cs="Times New Roman"/>
        </w:rPr>
        <w:t>3111 PRIPREMA I PROVEDBA PROJEKATA SUFINANCIRANIH SREDSTVIMA FONDOVA EU</w:t>
      </w:r>
    </w:p>
    <w:tbl>
      <w:tblPr>
        <w:tblStyle w:val="StilTablice"/>
        <w:tblW w:w="10206" w:type="dxa"/>
        <w:jc w:val="center"/>
        <w:tblLook w:val="04A0" w:firstRow="1" w:lastRow="0" w:firstColumn="1" w:lastColumn="0" w:noHBand="0" w:noVBand="1"/>
      </w:tblPr>
      <w:tblGrid>
        <w:gridCol w:w="1815"/>
        <w:gridCol w:w="1989"/>
        <w:gridCol w:w="1989"/>
        <w:gridCol w:w="1989"/>
        <w:gridCol w:w="1209"/>
        <w:gridCol w:w="1215"/>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3111-PRIPREMA I PROVEDBA PROJEKATA SUFINANCIRANIH SREDSTVIMA FONDOVA EU</w:t>
            </w:r>
          </w:p>
        </w:tc>
        <w:tc>
          <w:tcPr>
            <w:tcW w:w="2041" w:type="dxa"/>
          </w:tcPr>
          <w:p w:rsidR="00F244BA" w:rsidRDefault="00AC19E4">
            <w:pPr>
              <w:pStyle w:val="CellColumn"/>
              <w:jc w:val="right"/>
            </w:pPr>
            <w:r>
              <w:rPr>
                <w:rFonts w:cs="Times New Roman"/>
              </w:rPr>
              <w:t>655.142.659</w:t>
            </w:r>
          </w:p>
        </w:tc>
        <w:tc>
          <w:tcPr>
            <w:tcW w:w="2041" w:type="dxa"/>
          </w:tcPr>
          <w:p w:rsidR="00F244BA" w:rsidRDefault="00AC19E4">
            <w:pPr>
              <w:pStyle w:val="CellColumn"/>
              <w:jc w:val="right"/>
            </w:pPr>
            <w:r>
              <w:rPr>
                <w:rFonts w:cs="Times New Roman"/>
              </w:rPr>
              <w:t>177.906.547</w:t>
            </w:r>
          </w:p>
        </w:tc>
        <w:tc>
          <w:tcPr>
            <w:tcW w:w="2041" w:type="dxa"/>
          </w:tcPr>
          <w:p w:rsidR="00F244BA" w:rsidRDefault="00AC19E4">
            <w:pPr>
              <w:pStyle w:val="CellColumn"/>
              <w:jc w:val="right"/>
            </w:pPr>
            <w:r>
              <w:rPr>
                <w:rFonts w:cs="Times New Roman"/>
              </w:rPr>
              <w:t>170.561.220</w:t>
            </w:r>
          </w:p>
        </w:tc>
        <w:tc>
          <w:tcPr>
            <w:tcW w:w="1224" w:type="dxa"/>
          </w:tcPr>
          <w:p w:rsidR="00F244BA" w:rsidRDefault="00AC19E4">
            <w:pPr>
              <w:pStyle w:val="CellColumn"/>
              <w:jc w:val="right"/>
            </w:pPr>
            <w:r>
              <w:rPr>
                <w:rFonts w:cs="Times New Roman"/>
              </w:rPr>
              <w:t>95,9</w:t>
            </w:r>
          </w:p>
        </w:tc>
        <w:tc>
          <w:tcPr>
            <w:tcW w:w="1224" w:type="dxa"/>
          </w:tcPr>
          <w:p w:rsidR="00F244BA" w:rsidRDefault="00AC19E4">
            <w:pPr>
              <w:pStyle w:val="CellColumn"/>
              <w:jc w:val="right"/>
            </w:pPr>
            <w:r>
              <w:rPr>
                <w:rFonts w:cs="Times New Roman"/>
              </w:rPr>
              <w:t>26,0</w:t>
            </w:r>
          </w:p>
        </w:tc>
      </w:tr>
    </w:tbl>
    <w:p w:rsidR="00F244BA" w:rsidRDefault="00F244BA">
      <w:pPr>
        <w:jc w:val="left"/>
      </w:pPr>
    </w:p>
    <w:p w:rsidR="00F244BA" w:rsidRDefault="00AC19E4">
      <w:pPr>
        <w:pStyle w:val="Naslov8"/>
        <w:jc w:val="left"/>
      </w:pPr>
      <w:r>
        <w:lastRenderedPageBreak/>
        <w:t>Cilj 1. Uspješna priprema i praćenje provedbe projekata sufinanciranih sredstvima fondova EU</w:t>
      </w:r>
    </w:p>
    <w:p w:rsidR="00F244BA" w:rsidRDefault="00AC19E4">
      <w:pPr>
        <w:pStyle w:val="Naslov8"/>
        <w:jc w:val="left"/>
      </w:pPr>
      <w:r>
        <w:t>Opis provedbe cilja programa</w:t>
      </w:r>
    </w:p>
    <w:p w:rsidR="00F244BA" w:rsidRDefault="00AC19E4">
      <w:r>
        <w:t xml:space="preserve">Programom se provode aktivnosti za postizanje uspješne pripreme i provedbe projekata sufinanciranih sredstvima fondova EU, odnosno za ostvarenje ciljeva Operativnog programa Konkurentnost i kohezija 2014.-2020. (dalje: OPKK), Programa Konkurentnost i kohezija 2021.-2027. (dalje: PKK 2021.-2027.), Nacionalnog plana oporavka i otpornosti 2021.-2026. (dalje: NPOO), Fonda solidarnosti EU (dalje: FSEU) te CEF Tehničke pomoći (dalje: CEF TA). </w:t>
      </w:r>
    </w:p>
    <w:p w:rsidR="00F244BA" w:rsidRDefault="00AC19E4">
      <w:r>
        <w:t xml:space="preserve">MMPI obnaša funkciju Posredničkog tijela 1 (dalje PT1) za Prioritetnu os 7. Povezanost i mobilnost OPKK-a (dalje: OPKK Po7), za relevantne specifične ciljeve u PKK (RSO2.8. Promicanje održive multimodalne gradske mobilnosti kao dijela prelaska na gospodarstvo s nultom neto stopom emisija ugljika, RSO3.1. Razvoj pametne, sigurne, održive i intermodalne mreže TEN-T otporne na klimatske promjene i RSO3.2. Razvoj i jačanje održive, pametne i intermodalne nacionalne, regionalne i lokalne mobilnosti koja je otporna na klimatske promjene, uključujući bolji pristup mreži TEN-T i prekograničnoj mobilnosti), sektorski nadležnog tijela (SNT) za investicijski prioritet 2a Proširenje dostupnosti širokopojasnog pristupa i izgradnja mreža velikih brzina te podrška usvajanju novih tehnologija i mreža za digitalno gospodarstvo, Specifični cilj 2a1 Razvoj infrastrukture širokopojasne mreže sljedeće generacije u područjima bez infrastrukture širokopojasne mreže sljedeće generacije i bez dovoljno komercijalnog interesa, za maksimalno povećanje socijalne i ekonomske dobrobiti (dalje: OPKK SC2a1), Tijela državne uprave nadležnog za komponentu/podkomponentu (dalje: NT) u NPOO te Tijela odgovorna za provedbu financijskog doprinosa u FSEU-u (dalje: TOPFD).  </w:t>
      </w:r>
    </w:p>
    <w:p w:rsidR="00F244BA" w:rsidRDefault="00AC19E4">
      <w:r>
        <w:t xml:space="preserve">OPKK Po7 označava nastavak provedbe strateških ciljeva određenih u Operativnom programu Promet 2007.-2013. s fokusom na ulaganja u prometnu infrastrukturu potrebnu za suvremenu, konkurentnu i međusobno povezanu europsku ekonomiju. Kroz OPKK PO7 olakšat će se kretanje roba i ljudi, ne samo unutar Hrvatske već i prema ostalim dijelovima Europe, te poboljšati dostupnost gradova i izoliranih područja funkcionalnim regionalnim centrima i ojačati teritorijalnu koheziju. Zadnja godina prihvatljivosti troškova iz OPKK je 2023. te su u 2024. izvršene isplate po odobrenju završnih zahtjeva korisnika za nadoknadom sredstava (dalje: ZNS). </w:t>
      </w:r>
    </w:p>
    <w:p w:rsidR="00F244BA" w:rsidRDefault="00AC19E4">
      <w:r>
        <w:t xml:space="preserve">PKK 2021.-2027. predstavlja kontinuitet u odnosu na financijsko razdoblje 2014.-2020. te objedinjuje dosadašnja iskustva i znanja u okviru OPKK.  PKK 2021.-2027. provest će se u okviru Kohezijske politike EU kroz cilj ulaganja u radna mjesta i rast, te će pridonijeti ispunjenju ciljeva: konkurentnija i pametnija Europa promicanjem inovativne i pametne gospodarske preobrazbe i regionalne povezivosti u području IKT-a; zelenija, otporna Europa s niskom razinom emisija koja prelazi na gospodarstvo s nultom neto stopom emisija ugljika promicanjem prelaska na čistu i pravednu energiju, zelenih i plavih ulaganja, kružnoga gospodarstva, ublažavanja klimatskih promjena i prilagodbe klimatskim promjenama, sprečavanja rizika i upravljanja njime te održive urbane mobilnosti; povezanija Europa jačanjem mobilnosti; uključivija Europa s istaknutijom socijalnom komponentom provedbom europskog stupa socijalnih prava; Europa bliža građanima poticanjem održivog i integriranog razvoja svih vrsta područja i lokalnih inicijativa. </w:t>
      </w:r>
    </w:p>
    <w:p w:rsidR="00F244BA" w:rsidRDefault="00AC19E4">
      <w:r>
        <w:t xml:space="preserve">OPKK SC2a1 je specifični cilj koji općenito podržava ulaganja u širokopojasnu infrastrukturu sljedeće generacije (eng. NGN – Next Generation Networks) u područjima bez širokopojasne infrastrukture sljedeće generacije i bez dovoljno tržišnog interesa za ulaganja u takvu infrastrukturu od strane operatora na tržištu elektroničkih komunikacija (tzv. bijela i siva područja mreža sljedeće generacije). Cilj će se postići aktivnostima usmjerenima na razvoj agregacijskih (eng. backhaul) mreža sljedeće generacije u bijelim i sivim područjima mreža sljedeće generacije, i na razvoj  pristupnih mreža (s pristupom sljedeće generacije - eng. NGA – Next Generation Access) s brzinama od najmanje 30 Mbit/s – 100 Mbit/s) u bijelim područjima (potpuni tržišni neuspjeh) za kućanstva, poduzeća i javne ustanove. Zadnja godina prihvatljivosti troškova iz OPKK je 2023. te su u 2024. izvršene isplate po odobrenju završnih ZNS-ova.  </w:t>
      </w:r>
    </w:p>
    <w:p w:rsidR="00F244BA" w:rsidRDefault="00AC19E4">
      <w:r>
        <w:t xml:space="preserve">NPOO je dokument koji je rezultat rada Europske komisije krajem svibnja 2020. godine slijedom pandemije korona virusa kada je predstavljen sveobuhvatan paket u kojem je povezan budući višegodišnji financijski okvir (VFO) 2021.-2027. s posebnim radom na oporavku u okviru instrumenta Next Generation EU (NGEU). Jedan od pojedinačnih programa u okviru NGEU je Mehanizam za oporavak i otpornost (RRF) u sklopu kojeg države članice pripremaju nacionalne planove za oporavak i otpornost kojima se utvrđuje plan reformi i ulaganja dotične države članice. Opći ciljevi koji moraju biti adresirani u NPOO su: i) promicanje EU gospodarske, socijalne i teritorijalne kohezije; ii) jačanje kapaciteta za otpornost i prilagodbu; iii) smanjivanje socijalnog i gospodarskog utjecaja na krizu i iv) podrška zelenoj i digitalnoj tranziciji.   </w:t>
      </w:r>
    </w:p>
    <w:p w:rsidR="00F244BA" w:rsidRDefault="00AC19E4">
      <w:r>
        <w:t xml:space="preserve">Resor prometa se nalazi u NPOO unutar komponente 1. Gospodarstvo, u podkomponenti Razvoj konkurentnog, energetski održivog i učinkovitog prometnog sustava. Unutar te podkomponente obuhvaćene su reforme i investicije </w:t>
      </w:r>
      <w:r>
        <w:lastRenderedPageBreak/>
        <w:t xml:space="preserve">svih vidova prometa (željeznički, cestovni, pomorski, zračni i javni gradski promet te promet unutarnjim plovnim putovima).   </w:t>
      </w:r>
    </w:p>
    <w:p w:rsidR="00F244BA" w:rsidRDefault="00AC19E4">
      <w:r>
        <w:t xml:space="preserve">FSEU - Korištenje sredstava pomoći usmjereno je na obnovu infrastrukture i javnih ustanova na području Grada Zagreba, Krapinsko-zagorske županije, Zagrebačke županije, Sisačko-moslavačke županije, Karlovačke županije, Varaždinske županije, Međimurske županije, Brodsko-posavske županije, Koprivničko-križevačke županije i Bjelovarsko-bilogorske županije za vraćanje u ispravno radno stanje infrastrukture i pogona u energetskom sektoru, u području vodoopskrbe, upravljanja otpadnim vodama, telekomunikacija, prijevoza, zdravlja i obrazovanja itd. Odlukom Vlade od 12. studenoga 2020. godine (NN broj 125/20, 79/22, 58/23) definiran je sustav provedbe za Zagrebački potres, a Odlukom Vlade od 24. studenoga 2021. godine (NN broj 127/21, 143/21, 107/22, 58/23) za Petrinjski potres. Ministarstvo prostornoga uređenja, graditeljstva i državne imovine je Nacionalno koordinacijsko tijelo (dalje: NKT) dok su za provedbu financijskog doprinosa prema nadležnosti određena resorna ministarstva. Zajednička nacionalna pravila za provedbu donesena su 28. prosinca 2021. godine. Rok za iskorištenje bespovratnih sredstava Europskog fonda solidarnosti istekao je krajem lipnja 2023. godine.  </w:t>
      </w:r>
    </w:p>
    <w:p w:rsidR="00F244BA" w:rsidRDefault="00AC19E4">
      <w:r>
        <w:t>CEF Tehnička pomoć – Specifični cilj Instrumenta za povezivanje Europe - Connecting Europe Facility CEF (dalje: CEF Instrument) je doprinijeti razvoju projekata od zajedničkog interesa koji se odnose na učinkovite, međusobno povezane i multimodalne mreže i infrastrukturu za pametnu, interoperabilnu, održivu, uključivu, dostupnu i sigurnu mobilnost na trans-europskoj prometnoj mreži (TEN-T). Provedbom projekta osnažuju se institucionalne i administrativne sposobnosti ovoga Ministarstva, a sve kako bi se pomoglo boljem ugovaranju i provedbi projekata u okviru CEF Instrumenta.</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ugovorenih projekata u odnosu na planiran broj projekata za ugovaranje</w:t>
            </w:r>
          </w:p>
        </w:tc>
        <w:tc>
          <w:tcPr>
            <w:tcW w:w="2551" w:type="dxa"/>
          </w:tcPr>
          <w:p w:rsidR="00F244BA" w:rsidRDefault="00AC19E4">
            <w:pPr>
              <w:pStyle w:val="CellColumn"/>
              <w:jc w:val="left"/>
            </w:pPr>
            <w:r>
              <w:rPr>
                <w:rFonts w:cs="Times New Roman"/>
              </w:rPr>
              <w:t>Ovim pokazateljem će se mjeriti učinkovitost realizacije pripreme projekata sufinanciranih sredstvima fondova EU</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80</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88</w:t>
            </w:r>
          </w:p>
        </w:tc>
        <w:tc>
          <w:tcPr>
            <w:tcW w:w="1020" w:type="dxa"/>
          </w:tcPr>
          <w:p w:rsidR="00F244BA" w:rsidRDefault="00AC19E4">
            <w:pPr>
              <w:pStyle w:val="CellColumn"/>
              <w:jc w:val="right"/>
            </w:pPr>
            <w:r>
              <w:rPr>
                <w:rFonts w:cs="Times New Roman"/>
              </w:rPr>
              <w:t>105</w:t>
            </w:r>
          </w:p>
        </w:tc>
      </w:tr>
    </w:tbl>
    <w:p w:rsidR="00F244BA" w:rsidRDefault="00F244BA">
      <w:pPr>
        <w:jc w:val="left"/>
      </w:pPr>
    </w:p>
    <w:p w:rsidR="00F244BA" w:rsidRDefault="00AC19E4">
      <w:pPr>
        <w:pStyle w:val="Naslov4"/>
      </w:pPr>
      <w:r>
        <w:t>A754081 POVRAT NEPRIHVATLJIVIH TROŠKOVA FINANCIRANIH IZ EU SREDSTAVA</w:t>
      </w:r>
    </w:p>
    <w:tbl>
      <w:tblPr>
        <w:tblStyle w:val="StilTablice"/>
        <w:tblW w:w="10206" w:type="dxa"/>
        <w:jc w:val="center"/>
        <w:tblLook w:val="04A0" w:firstRow="1" w:lastRow="0" w:firstColumn="1" w:lastColumn="0" w:noHBand="0" w:noVBand="1"/>
      </w:tblPr>
      <w:tblGrid>
        <w:gridCol w:w="1870"/>
        <w:gridCol w:w="1974"/>
        <w:gridCol w:w="1964"/>
        <w:gridCol w:w="1974"/>
        <w:gridCol w:w="1209"/>
        <w:gridCol w:w="1215"/>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A754081-POVRAT NEPRIHVATLJIVIH TROŠKOVA FINANCIRANIH IZ EU SREDSTAVA</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15.291</w:t>
            </w:r>
          </w:p>
        </w:tc>
        <w:tc>
          <w:tcPr>
            <w:tcW w:w="2041" w:type="dxa"/>
          </w:tcPr>
          <w:p w:rsidR="00F244BA" w:rsidRDefault="00AC19E4">
            <w:pPr>
              <w:pStyle w:val="CellColumn"/>
              <w:jc w:val="right"/>
            </w:pPr>
            <w:r>
              <w:rPr>
                <w:rFonts w:cs="Times New Roman"/>
              </w:rPr>
              <w:t>12.947</w:t>
            </w:r>
          </w:p>
        </w:tc>
        <w:tc>
          <w:tcPr>
            <w:tcW w:w="1224" w:type="dxa"/>
          </w:tcPr>
          <w:p w:rsidR="00F244BA" w:rsidRDefault="00AC19E4">
            <w:pPr>
              <w:pStyle w:val="CellColumn"/>
              <w:jc w:val="right"/>
            </w:pPr>
            <w:r>
              <w:rPr>
                <w:rFonts w:cs="Times New Roman"/>
              </w:rPr>
              <w:t>84,7</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Zakon o proračunu</w:t>
      </w:r>
    </w:p>
    <w:p w:rsidR="00F244BA" w:rsidRDefault="00AC19E4">
      <w:pPr>
        <w:pStyle w:val="Naslov8"/>
        <w:jc w:val="left"/>
      </w:pPr>
      <w:r>
        <w:t>Opis aktivnosti</w:t>
      </w:r>
    </w:p>
    <w:p w:rsidR="00F244BA" w:rsidRDefault="00AC19E4">
      <w:r>
        <w:t>Završetkom projekta INTERREG Vb ADRION – projekt EUREKA Ministarstvo je kao vodeći partner projekta bilo dužno vratiti uplaćena sredstva predfinanciranja koja albanski partner nije opravdao. Od albanskih partnera na projektu zatražen je povrat sredstava koja su vraćena iz izvora 31.</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povrata sredstava u proračun Europske unije</w:t>
            </w:r>
          </w:p>
        </w:tc>
        <w:tc>
          <w:tcPr>
            <w:tcW w:w="2551" w:type="dxa"/>
          </w:tcPr>
          <w:p w:rsidR="00F244BA" w:rsidRDefault="00AC19E4">
            <w:pPr>
              <w:pStyle w:val="CellColumn"/>
              <w:jc w:val="left"/>
            </w:pPr>
            <w:r>
              <w:rPr>
                <w:rFonts w:cs="Times New Roman"/>
              </w:rPr>
              <w:t>Sredstva na ime neprihvatljivih troškova u projektima koji su financirani sredstvima Europske unije, a koja se uplaćuju u proračun Europske unije na temelju zahtjeva za uplatu nadležnih tijela Europske unije</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84,7</w:t>
            </w:r>
          </w:p>
        </w:tc>
      </w:tr>
    </w:tbl>
    <w:p w:rsidR="00F244BA" w:rsidRDefault="00F244BA">
      <w:pPr>
        <w:jc w:val="left"/>
      </w:pPr>
    </w:p>
    <w:p w:rsidR="00F244BA" w:rsidRDefault="00AC19E4">
      <w:pPr>
        <w:pStyle w:val="Naslov4"/>
      </w:pPr>
      <w:r>
        <w:t>K810067 CEF 2014.-2020. PRIPREMA FAIRWAY 2 RADOVA NA RAJNA-DUNAV KORIDORU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K810067-CEF 2014.-2020. PRIPREMA FAIRWAY 2 RADOVA NA RAJNA-DUNAV KORIDORU</w:t>
            </w:r>
          </w:p>
        </w:tc>
        <w:tc>
          <w:tcPr>
            <w:tcW w:w="2041" w:type="dxa"/>
          </w:tcPr>
          <w:p w:rsidR="00F244BA" w:rsidRDefault="00AC19E4">
            <w:pPr>
              <w:pStyle w:val="CellColumn"/>
              <w:jc w:val="right"/>
            </w:pPr>
            <w:r>
              <w:rPr>
                <w:rFonts w:cs="Times New Roman"/>
              </w:rPr>
              <w:t>418.695</w:t>
            </w:r>
          </w:p>
        </w:tc>
        <w:tc>
          <w:tcPr>
            <w:tcW w:w="2041" w:type="dxa"/>
          </w:tcPr>
          <w:p w:rsidR="00F244BA" w:rsidRDefault="00AC19E4">
            <w:pPr>
              <w:pStyle w:val="CellColumn"/>
              <w:jc w:val="right"/>
            </w:pPr>
            <w:r>
              <w:rPr>
                <w:rFonts w:cs="Times New Roman"/>
              </w:rPr>
              <w:t>599.275</w:t>
            </w:r>
          </w:p>
        </w:tc>
        <w:tc>
          <w:tcPr>
            <w:tcW w:w="2041" w:type="dxa"/>
          </w:tcPr>
          <w:p w:rsidR="00F244BA" w:rsidRDefault="00AC19E4">
            <w:pPr>
              <w:pStyle w:val="CellColumn"/>
              <w:jc w:val="right"/>
            </w:pPr>
            <w:r>
              <w:rPr>
                <w:rFonts w:cs="Times New Roman"/>
              </w:rPr>
              <w:t>570.356</w:t>
            </w:r>
          </w:p>
        </w:tc>
        <w:tc>
          <w:tcPr>
            <w:tcW w:w="1224" w:type="dxa"/>
          </w:tcPr>
          <w:p w:rsidR="00F244BA" w:rsidRDefault="00AC19E4">
            <w:pPr>
              <w:pStyle w:val="CellColumn"/>
              <w:jc w:val="right"/>
            </w:pPr>
            <w:r>
              <w:rPr>
                <w:rFonts w:cs="Times New Roman"/>
              </w:rPr>
              <w:t>95,2</w:t>
            </w:r>
          </w:p>
        </w:tc>
        <w:tc>
          <w:tcPr>
            <w:tcW w:w="1224" w:type="dxa"/>
          </w:tcPr>
          <w:p w:rsidR="00F244BA" w:rsidRDefault="00AC19E4">
            <w:pPr>
              <w:pStyle w:val="CellColumn"/>
              <w:jc w:val="right"/>
            </w:pPr>
            <w:r>
              <w:rPr>
                <w:rFonts w:cs="Times New Roman"/>
              </w:rPr>
              <w:t>136,2</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uspostavi institucionalnog okvira za provedbu europskih strukturnih i investicijskih fondova u Republici Hrvatskoj u financijskom razdoblju 2014.-2020., članak 4., stavak 2.,  </w:t>
      </w:r>
    </w:p>
    <w:p w:rsidR="00F244BA" w:rsidRDefault="00AC19E4">
      <w:r>
        <w:t xml:space="preserve">- Zakon o plovidbi i  lukama unutarnjih voda, članak 145., stavak 3. </w:t>
      </w:r>
    </w:p>
    <w:p w:rsidR="00F244BA" w:rsidRDefault="00AC19E4">
      <w:r>
        <w:t>- Ugovor sklopljen sa INEA (Innovation Executive Agency) Agreement No. INEA/CEF/TRAN/M2019/2113571 od 11. 11. 2020. godine</w:t>
      </w:r>
    </w:p>
    <w:p w:rsidR="00F244BA" w:rsidRDefault="00AC19E4">
      <w:pPr>
        <w:pStyle w:val="Naslov8"/>
        <w:jc w:val="left"/>
      </w:pPr>
      <w:r>
        <w:t>Opis aktivnosti</w:t>
      </w:r>
    </w:p>
    <w:p w:rsidR="00F244BA" w:rsidRDefault="00AC19E4">
      <w:r>
        <w:t xml:space="preserve">„Priprema FAIRway 2 radova na Rajna - Dunav koridoru“ je višekorisnički projekt odobren za EU sufinanciranje unutar CEF 2014. – 2020. poziva u području prometa. </w:t>
      </w:r>
    </w:p>
    <w:p w:rsidR="00F244BA" w:rsidRDefault="00AC19E4">
      <w:r>
        <w:t xml:space="preserve">Projektom se vrši praćenje parametara relevantnih za održavanje plovnog puta te inventarizacija sastavnica bioraznolikosti na kritičnim dionicama rijeke Dunav radi osiguranja temelja za zajedničku strategiju i usklađene aktivnosti Republike Hrvatske i Srbije, a u svrhu održavanja Dunava kao važnog međunarodnog plovnog puta, daljnji razvoj WAMOS sustava, povezivanje ključnih dionika, te analiziranje privezišta na Dunavu i plovnim pritokama Dunava. </w:t>
      </w:r>
    </w:p>
    <w:p w:rsidR="00F244BA" w:rsidRDefault="00AC19E4">
      <w:r>
        <w:t xml:space="preserve">Unutar navedene aktivnosti, u 2024. godini utrošena su sredstva kako slijedi:  </w:t>
      </w:r>
    </w:p>
    <w:p w:rsidR="00F244BA" w:rsidRDefault="00AC19E4">
      <w:r>
        <w:t xml:space="preserve">- rashodi za zaposlene odnose se na sredstva utrošena za podmirenje troškova plaća zaposlenih koji rade na projektu u iznosu od 41.478 €. Razlika planiranog iznosa u odnosu na izvršenje tijekom 2024. godine rezultat su dodatno osiguranih financijskih sredstava za potrebe mogućeg napredovanja članova projektnog tima; </w:t>
      </w:r>
    </w:p>
    <w:p w:rsidR="00F244BA" w:rsidRDefault="00AC19E4">
      <w:r>
        <w:t xml:space="preserve">- materijalni rashodi odnose se na sredstva utrošena za isplatu putnih troškova članova projektnog tima u iznosu od 1.598 €. Nastala razlika planiranog iznosa u odnosu na izvršenje tijekom 2024. godine rezultat je neutrošenih sredstava jer su se sastanci pretežito održavali on-line. </w:t>
      </w:r>
    </w:p>
    <w:p w:rsidR="00F244BA" w:rsidRDefault="00AC19E4">
      <w:r>
        <w:lastRenderedPageBreak/>
        <w:t xml:space="preserve">Sredstva planirana na intelektualnim i osobnim uslugama su utrošena za potrebe tehničke pomoći za provedbu analiza prikupljenih podataka biološkog monitoringa te tehničke pomoći pri definiranju hidromorfoloških parametara rijeke Dunav. </w:t>
      </w:r>
    </w:p>
    <w:p w:rsidR="00F244BA" w:rsidRDefault="00AC19E4">
      <w:r>
        <w:t>Sredstva na rashodima za nabavu neproizvedene dugotrajne imovine utrošena su na usluge monitoringa hidroloških, hidrauličkih i morfoloških karakteristika rijeke Dunav te inventarizaciju sastavnica bioraznolikosti na zajedničkom hrvatsko-srpskom sektoru rijeke Dunav.</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Stupanj dovršenosti praćenja parametara relevantnih za održavanje plovnog puta te sastavnica bioraznolikosti</w:t>
            </w:r>
          </w:p>
        </w:tc>
        <w:tc>
          <w:tcPr>
            <w:tcW w:w="2551" w:type="dxa"/>
          </w:tcPr>
          <w:p w:rsidR="00F244BA" w:rsidRDefault="00AC19E4">
            <w:pPr>
              <w:pStyle w:val="CellColumn"/>
              <w:jc w:val="left"/>
            </w:pPr>
            <w:r>
              <w:rPr>
                <w:rFonts w:cs="Times New Roman"/>
              </w:rPr>
              <w:t>Praćenje parametara relevantnih za održavanje plovnog puta te sastavnica bioraznolikosti kojim će se postići osiguranje temelja za zajedničku strategiju i usklađenje aktivnosti između Republike Hrvatske i Republike Srbije</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80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T754039 OP KONKURENTNOST I KOHEZIJA, PRIORITETNA OS 7. POVEZANOST I MOBILNOST</w:t>
      </w:r>
    </w:p>
    <w:tbl>
      <w:tblPr>
        <w:tblStyle w:val="StilTablice"/>
        <w:tblW w:w="10206" w:type="dxa"/>
        <w:jc w:val="center"/>
        <w:tblLook w:val="04A0" w:firstRow="1" w:lastRow="0" w:firstColumn="1" w:lastColumn="0" w:noHBand="0" w:noVBand="1"/>
      </w:tblPr>
      <w:tblGrid>
        <w:gridCol w:w="1881"/>
        <w:gridCol w:w="1973"/>
        <w:gridCol w:w="1967"/>
        <w:gridCol w:w="1967"/>
        <w:gridCol w:w="1205"/>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T754039-OP KONKURENTNOST I KOHEZIJA, PRIORITETNA OS 7. POVEZANOST I MOBILNOST</w:t>
            </w:r>
          </w:p>
        </w:tc>
        <w:tc>
          <w:tcPr>
            <w:tcW w:w="2041" w:type="dxa"/>
          </w:tcPr>
          <w:p w:rsidR="00F244BA" w:rsidRDefault="00AC19E4">
            <w:pPr>
              <w:pStyle w:val="CellColumn"/>
              <w:jc w:val="right"/>
            </w:pPr>
            <w:r>
              <w:rPr>
                <w:rFonts w:cs="Times New Roman"/>
              </w:rPr>
              <w:t>195.762.599</w:t>
            </w:r>
          </w:p>
        </w:tc>
        <w:tc>
          <w:tcPr>
            <w:tcW w:w="2041" w:type="dxa"/>
          </w:tcPr>
          <w:p w:rsidR="00F244BA" w:rsidRDefault="00AC19E4">
            <w:pPr>
              <w:pStyle w:val="CellColumn"/>
              <w:jc w:val="right"/>
            </w:pPr>
            <w:r>
              <w:rPr>
                <w:rFonts w:cs="Times New Roman"/>
              </w:rPr>
              <w:t>50.807.404</w:t>
            </w:r>
          </w:p>
        </w:tc>
        <w:tc>
          <w:tcPr>
            <w:tcW w:w="2041" w:type="dxa"/>
          </w:tcPr>
          <w:p w:rsidR="00F244BA" w:rsidRDefault="00AC19E4">
            <w:pPr>
              <w:pStyle w:val="CellColumn"/>
              <w:jc w:val="right"/>
            </w:pPr>
            <w:r>
              <w:rPr>
                <w:rFonts w:cs="Times New Roman"/>
              </w:rPr>
              <w:t>52.020.512</w:t>
            </w:r>
          </w:p>
        </w:tc>
        <w:tc>
          <w:tcPr>
            <w:tcW w:w="1224" w:type="dxa"/>
          </w:tcPr>
          <w:p w:rsidR="00F244BA" w:rsidRDefault="00AC19E4">
            <w:pPr>
              <w:pStyle w:val="CellColumn"/>
              <w:jc w:val="right"/>
            </w:pPr>
            <w:r>
              <w:rPr>
                <w:rFonts w:cs="Times New Roman"/>
              </w:rPr>
              <w:t>102,4</w:t>
            </w:r>
          </w:p>
        </w:tc>
        <w:tc>
          <w:tcPr>
            <w:tcW w:w="1224" w:type="dxa"/>
          </w:tcPr>
          <w:p w:rsidR="00F244BA" w:rsidRDefault="00AC19E4">
            <w:pPr>
              <w:pStyle w:val="CellColumn"/>
              <w:jc w:val="right"/>
            </w:pPr>
            <w:r>
              <w:rPr>
                <w:rFonts w:cs="Times New Roman"/>
              </w:rPr>
              <w:t>26,6</w:t>
            </w:r>
          </w:p>
        </w:tc>
      </w:tr>
    </w:tbl>
    <w:p w:rsidR="00F244BA" w:rsidRDefault="00F244BA">
      <w:pPr>
        <w:jc w:val="left"/>
      </w:pPr>
    </w:p>
    <w:p w:rsidR="00F244BA" w:rsidRDefault="00AC19E4">
      <w:pPr>
        <w:pStyle w:val="Naslov8"/>
        <w:jc w:val="left"/>
      </w:pPr>
      <w:r>
        <w:t>Zakonske i druge pravne osnove</w:t>
      </w:r>
    </w:p>
    <w:p w:rsidR="00F244BA" w:rsidRDefault="00AC19E4">
      <w:r>
        <w:t xml:space="preserve">- Bijela knjiga: Plan puta u jedinstveni europski prometni prostor (ECE 2011) </w:t>
      </w:r>
    </w:p>
    <w:p w:rsidR="00F244BA" w:rsidRDefault="00AC19E4">
      <w:r>
        <w:t xml:space="preserve">- Strategija prometnog razvoja Republike Hrvatske za razdoblje od 2017. do 2030. godine  </w:t>
      </w:r>
    </w:p>
    <w:p w:rsidR="00F244BA" w:rsidRDefault="00AC19E4">
      <w:r>
        <w:t xml:space="preserve">- Sporazum o partnerstvu između RH i EK za korištenje EU strukturnih i investicijskih fondova za rast i radna mjesta u razdoblju 2014.-2020. </w:t>
      </w:r>
    </w:p>
    <w:p w:rsidR="00F244BA" w:rsidRDefault="00AC19E4">
      <w:r>
        <w:t xml:space="preserve">- Operativni program „Konkurentnost i kohezija 2014.-2020.“, izmjena odobrena od strane EK 16. prosinca 2022. godine (dalje: OPKK) </w:t>
      </w:r>
    </w:p>
    <w:p w:rsidR="00F244BA" w:rsidRDefault="00AC19E4">
      <w:r>
        <w:t xml:space="preserve">- Zakon o uspostavi institucionalnog okvira za provedbu ESI fondova u RH u financijskom razdoblju 2014.-2020. </w:t>
      </w:r>
    </w:p>
    <w:p w:rsidR="00F244BA" w:rsidRDefault="00AC19E4">
      <w:r>
        <w:t>- Uredba o tijelima u sustavima upravljanja i kontrole korištenja ESF, EFRR i KF, u vezi s ciljem „Ulaganje za rast i radna mjesta“ (dalje: Uredba)</w:t>
      </w:r>
    </w:p>
    <w:p w:rsidR="00F244BA" w:rsidRDefault="00AC19E4">
      <w:pPr>
        <w:pStyle w:val="Naslov8"/>
        <w:jc w:val="left"/>
      </w:pPr>
      <w:r>
        <w:t>Opis aktivnosti</w:t>
      </w:r>
    </w:p>
    <w:p w:rsidR="00F244BA" w:rsidRDefault="00AC19E4">
      <w:r>
        <w:t xml:space="preserve">Od početka provedbe  do 31. prosinca 2024. godine, potpisano je ukupno 96 ugovora o dodjeli bespovratnih sredstava (u daljnjem tekstu: ugovor) u iznosu od 1.689.665.838,82 €. 11 ugovora je raskinuto te vrijednost bespovratnih sredstava za 85 sklopljenih ugovora iznosi 1.477.672.380,60 €, od čega su 4 ugovora u provedbi, a njih 81 je završeno. 14 projekata koji su ugovoreni u periodu 2014.-2020. fazirani su i nastavljaju provedbu kroz PKK 2021.-2027.  </w:t>
      </w:r>
    </w:p>
    <w:p w:rsidR="00F244BA" w:rsidRDefault="00AC19E4">
      <w:r>
        <w:lastRenderedPageBreak/>
        <w:t xml:space="preserve">Ukupna alokacija EU sredstava dodijeljena za PO 7 iznosi 1.130.375.841 € te je do kraja 2024. u odnosu na alokaciju isplaćeno ukupno 96,92% EU sredstava, a odobreno je 101,18% prihvatljivih troškova u odnosu na alokaciju.   </w:t>
      </w:r>
    </w:p>
    <w:p w:rsidR="00F244BA" w:rsidRDefault="00AC19E4">
      <w:r>
        <w:t xml:space="preserve">Prema vrsti sklopljenih ugovora, 50 ugovora se odnosi na radove, odnosno izgradnju prometnica, željezničkih pruga, luka, tramvajske infrastrukture i aerodroma, 20 ugovora se odnosi na nabavu voznog parka i 15 na izradu dokumentacije i razvoj sustava (masterplanovi, strateška dokumentacija, nacionalni planovi i sl.). Vrijednosno, ugovori o radovima čine 86% od ukupno ugovorenih sredstava, nabava voznog parka 13 % i izrada dokumentacije 1%.   </w:t>
      </w:r>
    </w:p>
    <w:p w:rsidR="00F244BA" w:rsidRDefault="00AC19E4">
      <w:r>
        <w:t xml:space="preserve">Planirani iznosi u 2024. godini, za sve projekte koji se financiraju u okviru PO 7 iznosili su 50.807.404 €, dok je izvršenje iznosilo 52.020.512,02 € što predstavlja 102,39% u odnosu na plan.  </w:t>
      </w:r>
    </w:p>
    <w:p w:rsidR="00F244BA" w:rsidRDefault="00AC19E4">
      <w:r>
        <w:t xml:space="preserve">Najznačajniji projekti koji su završeni u 2024.: </w:t>
      </w:r>
    </w:p>
    <w:p w:rsidR="00F244BA" w:rsidRDefault="00AC19E4">
      <w:r>
        <w:t xml:space="preserve">Provedbom projekta „Cestovna povezanost s južnom Dalmacijom“ odnosno završetkom radova na izgradnji mosta, pristupnih cesta i stonske obilaznice, u konačnici je u promet pušteno 32,35 km novoizgrađene prometnice. Time je osigurana neprekinuta, trajna i neometana veza hrvatskog i EU teritorija te smanjena izolacija funkcionalnog područja Metkovića, otoka Korčule i poluotoka Pelješca. Lakši pristup omogućio je jačanje turističkih i gospodarskih kapaciteta regije. Povećan je stupanj usluge prometnog sustava i sigurnosti prometa, pouzdanosti u smislu opskrbe regije te se smanjilo trajanje putovanja prema krajnjem jugu. Za predmetni ugovor ukupne vrijednosti 426.778.108,62 € bespovratnih sredstava, tijekom 2024. isplaćena su sredstva u ukupnom iznosu od 15.576.556,11 € za odobrene troškove izgradnje i nadzora izgradnje mosta, pristupnih cesta te promidžbe i vidljivosti. </w:t>
      </w:r>
    </w:p>
    <w:p w:rsidR="00F244BA" w:rsidRDefault="00AC19E4">
      <w:r>
        <w:t xml:space="preserve">Provedbom projekta „Projekt izgradnje državne ceste DC403 od čvora Škurinje do luke Rijeka“ odnosno završetkom radova na izgradnji državne ceste u konačnici je u promet pušteno 2,97 km novoizgrađene prometnice odnosno obilaznice od čvora Škurinje do luke Rijeka, čime je ostvarena izravna veza luke Rijeka na TEN-T mrežu, poboljšana regionalna i lokalna mobilnost te je povećana sigurnost prometa. Za predmetni ugovor ukupne vrijednosti 69.017.187,60 € bespovratnih sredstava, tijekom 2024. isplaćena su sredstva u ukupnom iznosu od 14.591.777,68 € za odobrene troškove izgradnje, nadzora izgradnje i upravljanje projektom.  </w:t>
      </w:r>
    </w:p>
    <w:p w:rsidR="00F244BA" w:rsidRDefault="00AC19E4">
      <w:r>
        <w:t xml:space="preserve">Provedbom projekta „Rekonstrukcija i proširenje Lapadske obale, II., III. i IV. faza izgradnje” “ izgrađeno je 0,73 km novih i nadograđenih biciklističkih traka, skraćeno je trajanje cestovnog putovanja na obuhvaćenim uskim grlima za 5 min te su uklonjena 3 uska grla koja sprečavaju razvoj i funkcioniranje sustava gradskog prijevoza. Za predmetni ugovor ukupne vrijednosti 9.271.697,28 € bespovratnih sredstava, tijekom 2024. isplaćena su sredstva u ukupnom iznosu od 3.413.435,44 € za odobrene troškove izvođenja radova rekonstrukcije, nadzora, nabave i ugradnje potrebne opreme te upravljanja projektom.  </w:t>
      </w:r>
    </w:p>
    <w:p w:rsidR="00F244BA" w:rsidRDefault="00AC19E4">
      <w:r>
        <w:t xml:space="preserve">Provedbom projekta „Izgradnja nadvožnjaka Duga ulica – Borinačka ulica i prilazne prometnice u gradu Vinkovcima“ odnosno završetkom radova na izgradnji podvožnjaka pušteno je u promet 2,99 km nove i nadograđene biciklističke trake, uklonjeno je usko grlo koje je sprječavalo razvoj i funkcioniranje sustava javnog prijevoza te je za 7 minuta skraćeno trajanje cestovnog putovanja na obuhvaćenom uskom grlu. </w:t>
      </w:r>
    </w:p>
    <w:p w:rsidR="00F244BA" w:rsidRDefault="00AC19E4">
      <w:r>
        <w:t xml:space="preserve">Provedbom projekta „Izgradnja podvožnjaka u Ulici sv. L. B. Mandića u Osijeku“ izgrađeni su podvožnjak u Ulici svetog Leopolda Bogdana Mandića, dva mosta (cestovni i željeznički), intrazonske ceste s priključnim prometnicama, pješačke i biciklističke staze, javna rasvjeta te sanitarno-fekalna i oborinska kanalizacija.  </w:t>
      </w:r>
    </w:p>
    <w:p w:rsidR="00F244BA" w:rsidRDefault="00AC19E4">
      <w:r>
        <w:t xml:space="preserve">Provedbom projekta „Sanacija opasnih mjesta (Uklanjanje crnih točaka) na državnim cestama“ sanirana su 23 opasna mjesta na državnim cestama, čime se pridonosi poboljšanju cestovne sigurnosti putem poboljšanja cestovne infrastrukture na mjestima s visokim miješanim prometom. Nabavom specijalnog vozila osigurana je mogućnost prikupljanja kvantitavnih podataka o stanju kolnika na mreži državnih cesta čime će se utvrditi stvarno stanje mreže, odrediti prioriteti za potrebe održavanja i rekonstrukcije te optimizirati troškovi održavanja.  </w:t>
      </w:r>
    </w:p>
    <w:p w:rsidR="00F244BA" w:rsidRDefault="00AC19E4">
      <w:r>
        <w:t xml:space="preserve">Nadalje, projekti lučke infrastrukture koji su završeni u 2024.: </w:t>
      </w:r>
    </w:p>
    <w:p w:rsidR="00F244BA" w:rsidRDefault="00AC19E4">
      <w:r>
        <w:t xml:space="preserve">Provedbom projekta „Izgradnja pomorsko-putničkog terminala Vela Luka“ izgrađen je i u potpunosti funkcionalan pomorsko-putnički terminal spreman za prihvat brodova obalnog linijskog prijevoza. Premještanjem luke iz centra Vela Luke u novi terminal, povećava se kapacitet u obalnom linijskom prometu i smanjuje zakrčenost luke, a ujedno lokalnom stanovništvu pruža bolju dostupnost zapošljavanja, obrazovanja i drugih usluga tijekom cijele godine. </w:t>
      </w:r>
    </w:p>
    <w:p w:rsidR="00F244BA" w:rsidRDefault="00AC19E4">
      <w:r>
        <w:t xml:space="preserve">Provedbom projekta „Dogradnja luke Baška“ izgrađena je potpuno funkcionalna luka spremna za prihvat brodova obalnog linijskog prijevoza, omogućen je odgovarajući privez i sigurnost na vezu za linijske brodove u cjelogodišnjoj linijskoj plovidbi, osiguran je preduvjet za razvoj linijskog prometa za povezivanje otoka i njegovih stanovnika, podignut je komunalni standard za korisnike javnih brodskih linija, u i oko luke, te je osigurana nužna zaštita akvatorija unutar lučkog područja luke Baška. Nova infrastruktura je osnovni preduvjet uspostave cjelogodišnje linije </w:t>
      </w:r>
      <w:r>
        <w:lastRenderedPageBreak/>
        <w:t xml:space="preserve">s ciljem jednostavnije komunikacije i putovanja sa otoka Raba prema administrativnom središtu - gradu Rijeci (srednje škole, fakulteti, bolnice, administracija itd.) te boljim prijevoznim povezivanjem otoka sa kopnom.  </w:t>
      </w:r>
    </w:p>
    <w:p w:rsidR="00F244BA" w:rsidRDefault="00AC19E4">
      <w:r>
        <w:t xml:space="preserve">Provedbom projekta „Rekonstrukcija i dogradnja trajektnog pristaništa Žigljen“ dograđena je i rekonstruirana obala 1, 2 i 3 pristaništa Žigljen čime se omogućava privez trajektima maksimalne dužine do 120 m na obali 1, pristajanje plovila pri lošijim vremenskim uvjetima izgrađenim nasipom koji štiti obale od vjetra i valova, manje manevriranje na vezu i smanjenje trajanja manevra uplova i isplova te noćenje plovila u trajektnom pristaništu na obali 3. Projekt osigurava adekvatan privez i sigurnost linijske veze, omogućava cjelokupno povećanje nivoa usluge, te je od izrazite važnosti za Grad Novalju i otok Pag. Projektom se omogućila sigurna i kvalitetnija veza lokalnog stanovništva s administrativnim središtem županije Gospićem, te urbanim središtima Rijekom, Zadrom i Splitom. </w:t>
      </w:r>
    </w:p>
    <w:p w:rsidR="00F244BA" w:rsidRDefault="00AC19E4">
      <w:r>
        <w:t xml:space="preserve">Provedbom projekta „Izgradnja trajektnog pristana u luci Kaprije“ izgrađen je novi trajektni pristan čime je poboljšana prometna infrastruktura na otoku, što omogućuje korištenje brodova dubljeg gaza, stabilnijih i otpornijih na vremenske neprilike. Povećava se sigurnost plovidbe i sidrenja, osigurava se lakše manevriranje i pristajanje trajektima te smanjenje prometnog zagušenja i gužve u području luke i središta mjesta. </w:t>
      </w:r>
    </w:p>
    <w:p w:rsidR="00F244BA" w:rsidRDefault="00AC19E4">
      <w:r>
        <w:t xml:space="preserve">Provedbom projekta „Trajektno pristanište nova rampa unutar lučkog područja LU Senj u uvali Stinica“, uz postojeće kapacitete, izgrađena je nova rampa u pristaništu Stinica koja će doprinijeti smanjenju zakrčenosti luke te dodatno osigurati veću dostupnost luke i sigurnost uplovljavanja i isplovljavanja tijekom cijele godine. Projekt osigurava bolju povezanost otoka Raba s kopnom, a posebice u periodu nepovoljnih vremenskih prilika, a posebno je važno za pružanje usluga lokalnom stanovništvu, kao i boljom dostupnošću zapošljavanja, obrazovanja i drugih usluga kako na otoku Rabu tako i na području Grada Senja i ostatka županije.  </w:t>
      </w:r>
    </w:p>
    <w:p w:rsidR="00F244BA" w:rsidRDefault="00AC19E4">
      <w:r>
        <w:t xml:space="preserve">Rezultati provedbe projekata željezničkog prometa:  </w:t>
      </w:r>
    </w:p>
    <w:p w:rsidR="00F244BA" w:rsidRDefault="00AC19E4">
      <w:r>
        <w:t xml:space="preserve">Dovršetkom prve faze provedbe projekta „1. faza modernizacije tramvajske infrastrukture u gradu Zagrebu“ izrađeni su projektni dokumenti te je izgrađeno 8,19 km novih i poboljšanih tramvajskih pruga, dok se ostvarenje pokazatelja "Broj obnovljenih i izgrađenih ispravljačkih stanica" predviđa završetkom druge faze projekta, obzirom da se projekt nastavlja financirati kroz PKK 2021.-2027.  </w:t>
      </w:r>
    </w:p>
    <w:p w:rsidR="00F244BA" w:rsidRDefault="00AC19E4">
      <w:r>
        <w:t xml:space="preserve">Dovršetkom prve faze provedbe projekta „Projekt osiguranja i modernizacije željezničko-cestovnih prijelaza“ završeni su radovi na sveukupno deset željezničko-cestovnih prijelaza, dok će se ostalih 84 završiti provedbom druge faze projekta, obzirom da se projekt nastavlja financirati kroz PKK 2021.-2027.  </w:t>
      </w:r>
    </w:p>
    <w:p w:rsidR="00F244BA" w:rsidRDefault="00AC19E4">
      <w:r>
        <w:t>U okviru provedbe projekta „Nadogradnja i elektrifikacija postojeće željezničke pruge od značaja za međunarodni promet M601 VINKOVCI VUKOVAR“ završeni su radovi na rekonstrukciji i obnovi željezničkih kolodvora Vukovar - Borovo Naselje i Vukovar te stajališta Nuštar i Bršadin-Lipovača. Završena je rekonstrukcija i obnova željezničke pruge ukupne duljine 18,71 km, čime se doprinosi gospodarskom razvoju istočnog djela Republike Hrvatske, za Vukovarsko-srijemsku županiju i luku Vukovar. Cilj projekta je povećanje opsega željezničkog teretnog prijevoza, bolja povezanost željezničkog putničkog prijevoza, podizanje razine i udobnosti putovanja vlakom. Elektrifikacijom dionice osigurava se ekonomski i energetski isplativ te ekološki održiv željeznički promet. Projekt je obuhvatio nova i funkcionalna rješenja željezničko-cestovnih prijelaza, izgradnju pješačkih pothodnika, lakši pristup osobama smanjene pokretljivosti, izgradnju zidova za zaštitu od buke, parkirališta za osobna vozila i bicikle i ostale sadržaje.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izvršenih isplata korisniku prije krajnjeg roka za plaćanje</w:t>
            </w:r>
          </w:p>
        </w:tc>
        <w:tc>
          <w:tcPr>
            <w:tcW w:w="2551" w:type="dxa"/>
          </w:tcPr>
          <w:p w:rsidR="00F244BA" w:rsidRDefault="00AC19E4">
            <w:pPr>
              <w:pStyle w:val="CellColumn"/>
              <w:jc w:val="left"/>
            </w:pPr>
            <w:r>
              <w:rPr>
                <w:rFonts w:cs="Times New Roman"/>
              </w:rPr>
              <w:t>Udio izvršenih isplata korisniku prije krajnjeg roka za plaćanje u ukupnom broju izvršenih isplata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96</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96</w:t>
            </w:r>
          </w:p>
        </w:tc>
        <w:tc>
          <w:tcPr>
            <w:tcW w:w="1020" w:type="dxa"/>
          </w:tcPr>
          <w:p w:rsidR="00F244BA" w:rsidRDefault="00AC19E4">
            <w:pPr>
              <w:pStyle w:val="CellColumn"/>
              <w:jc w:val="right"/>
            </w:pPr>
            <w:r>
              <w:rPr>
                <w:rFonts w:cs="Times New Roman"/>
              </w:rPr>
              <w:t>96</w:t>
            </w:r>
          </w:p>
        </w:tc>
      </w:tr>
    </w:tbl>
    <w:p w:rsidR="00F244BA" w:rsidRDefault="00F244BA">
      <w:pPr>
        <w:jc w:val="left"/>
      </w:pPr>
    </w:p>
    <w:p w:rsidR="00F244BA" w:rsidRDefault="00AC19E4">
      <w:pPr>
        <w:pStyle w:val="Naslov4"/>
      </w:pPr>
      <w:r>
        <w:t>T754040 CEF TEHNIČKA POMOĆ</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T754040-CEF TEHNIČKA POMOĆ</w:t>
            </w:r>
          </w:p>
        </w:tc>
        <w:tc>
          <w:tcPr>
            <w:tcW w:w="2041" w:type="dxa"/>
          </w:tcPr>
          <w:p w:rsidR="00F244BA" w:rsidRDefault="00AC19E4">
            <w:pPr>
              <w:pStyle w:val="CellColumn"/>
              <w:jc w:val="right"/>
            </w:pPr>
            <w:r>
              <w:rPr>
                <w:rFonts w:cs="Times New Roman"/>
              </w:rPr>
              <w:t>56.575</w:t>
            </w:r>
          </w:p>
        </w:tc>
        <w:tc>
          <w:tcPr>
            <w:tcW w:w="2041" w:type="dxa"/>
          </w:tcPr>
          <w:p w:rsidR="00F244BA" w:rsidRDefault="00AC19E4">
            <w:pPr>
              <w:pStyle w:val="CellColumn"/>
              <w:jc w:val="right"/>
            </w:pPr>
            <w:r>
              <w:rPr>
                <w:rFonts w:cs="Times New Roman"/>
              </w:rPr>
              <w:t>149.190</w:t>
            </w:r>
          </w:p>
        </w:tc>
        <w:tc>
          <w:tcPr>
            <w:tcW w:w="2041" w:type="dxa"/>
          </w:tcPr>
          <w:p w:rsidR="00F244BA" w:rsidRDefault="00AC19E4">
            <w:pPr>
              <w:pStyle w:val="CellColumn"/>
              <w:jc w:val="right"/>
            </w:pPr>
            <w:r>
              <w:rPr>
                <w:rFonts w:cs="Times New Roman"/>
              </w:rPr>
              <w:t>86.972</w:t>
            </w:r>
          </w:p>
        </w:tc>
        <w:tc>
          <w:tcPr>
            <w:tcW w:w="1224" w:type="dxa"/>
          </w:tcPr>
          <w:p w:rsidR="00F244BA" w:rsidRDefault="00AC19E4">
            <w:pPr>
              <w:pStyle w:val="CellColumn"/>
              <w:jc w:val="right"/>
            </w:pPr>
            <w:r>
              <w:rPr>
                <w:rFonts w:cs="Times New Roman"/>
              </w:rPr>
              <w:t>58,3</w:t>
            </w:r>
          </w:p>
        </w:tc>
        <w:tc>
          <w:tcPr>
            <w:tcW w:w="1224" w:type="dxa"/>
          </w:tcPr>
          <w:p w:rsidR="00F244BA" w:rsidRDefault="00AC19E4">
            <w:pPr>
              <w:pStyle w:val="CellColumn"/>
              <w:jc w:val="right"/>
            </w:pPr>
            <w:r>
              <w:rPr>
                <w:rFonts w:cs="Times New Roman"/>
              </w:rPr>
              <w:t>153,7</w:t>
            </w:r>
          </w:p>
        </w:tc>
      </w:tr>
    </w:tbl>
    <w:p w:rsidR="00F244BA" w:rsidRDefault="00F244BA">
      <w:pPr>
        <w:jc w:val="left"/>
      </w:pPr>
    </w:p>
    <w:p w:rsidR="00F244BA" w:rsidRDefault="00AC19E4">
      <w:pPr>
        <w:pStyle w:val="Naslov8"/>
        <w:jc w:val="left"/>
      </w:pPr>
      <w:r>
        <w:t>Zakonske i druge pravne osnove</w:t>
      </w:r>
    </w:p>
    <w:p w:rsidR="00F244BA" w:rsidRDefault="00AC19E4">
      <w:r>
        <w:t xml:space="preserve">- Uredba (EU) 2021/1153 Europskog parlamenta i Vijeća od 7. srpnja 2021. o uspostavi Instrumenta za povezivanje Europe i stavljanju izvan snage uredaba (EU) br. 1316/2013 i (EU) br. 283/2014  </w:t>
      </w:r>
    </w:p>
    <w:p w:rsidR="00F244BA" w:rsidRDefault="00AC19E4">
      <w:r>
        <w:t xml:space="preserve">- Tehnička pomoć državama članicama za aktivnosti povezane s CEF-om, sudjelovanje u željezničkim teretnim koridorima i koridorima osnovne mreže te aktivnostima povezanim s TENtec-om i ažuriranjem i izvješćivanjem putem automatizirane razmjene podataka s TENtec-om – Hrvatska; Projekt 101082757 — 21-HR-TC-CEF-TA-HR  (eng. Technical Assistance to Member States for CEF related activities, participation in the RFC and CNC, and on TEN-Tec for updating and reporting via automated data exchange with TENtec – Croatia; Project 101082757 — 21-HR-TC-CEF-TA-HR) </w:t>
      </w:r>
    </w:p>
    <w:p w:rsidR="00F244BA" w:rsidRDefault="00AC19E4">
      <w:r>
        <w:t>- Dodatak Ugovoru No AMD-101082757-2, od 11.12.2024.</w:t>
      </w:r>
    </w:p>
    <w:p w:rsidR="00F244BA" w:rsidRDefault="00AC19E4">
      <w:pPr>
        <w:pStyle w:val="Naslov8"/>
        <w:jc w:val="left"/>
      </w:pPr>
      <w:r>
        <w:t>Opis aktivnosti</w:t>
      </w:r>
    </w:p>
    <w:p w:rsidR="00F244BA" w:rsidRDefault="00AC19E4">
      <w:r>
        <w:t xml:space="preserve">Specifični cilj CEF programa u prometnom sektoru je doprinijeti razvoju projekata od zajedničkog interesa koji se odnose na učinkovite, međusobno povezane i multimodalne mreže i infrastrukturu za pametnu, interoperabilnu, održivu, uključivu, dostupnu i sigurnu mobilnost na trans-europskoj prometnoj mreži (TEN-T). Kako bi se postigao ovaj cilj, pruža se tehnička pomoć državama članicama kao glavnim dionicima odgovornim za uspješnu provedbu ulaganja u infrastrukturu vezanu uz TEN-T. </w:t>
      </w:r>
    </w:p>
    <w:p w:rsidR="00F244BA" w:rsidRDefault="00AC19E4">
      <w:r>
        <w:t xml:space="preserve">Ugovor o tehničkoj pomoći CEF TA 2022-2024 potpisan je 15.9.2022. godine između MMPI-ja i CINEA Agencije te je nastavak tehničke pomoći Ministarstvu mora, prometa i infrastrukture kao glavnom odgovornom dioniku za uspješnu provedbu infrastrukturnih ulaganja u TEN-T. Prihvatljivi izdaci nadoknađuju se od strane Europske komisije, međutim sukladno CEF Uredbi 21-27, PDV nije prihvatljiv trošak.  </w:t>
      </w:r>
    </w:p>
    <w:p w:rsidR="00F244BA" w:rsidRDefault="00AC19E4">
      <w:r>
        <w:t xml:space="preserve">Sukladno predmetnom Ugovoru, Uprava za EU fondove i strateško planiranje korisnik je tehničke pomoći te su sredstva na tekućem projektu T754040 CEF Tehnička pomoć planirana za provođenje aktivnosti koje će doprinijeti boljoj apsorpciji i korištenju raspoloživih sredstava CEF-a s ciljem postizanja uspješne provedbe i učinkovitog upravljanja infrastrukturnim ulaganjima u TEN-T u Hrvatskoj. Proračunska sredstva u 2024. godini utrošena su na putne troškove sastanaka praćenja provedbe projekata koji se sufinanciraju kroz CEF instrument, usluge temeljem ugovora o djelu, savjetovanja u pripremi i provedbi CEF 2 projekata te promidžbe i informiranja. </w:t>
      </w:r>
    </w:p>
    <w:p w:rsidR="00F244BA" w:rsidRDefault="00AC19E4">
      <w:r>
        <w:t xml:space="preserve">Izvršenje odstupa od plana zbog smanjenog broja sastanaka u odnosu na planirano (nije organiziran ni jedan sastanak radnih grupa koridora u 2024), te zbog kašnjenja nabave TENtec sustava.  </w:t>
      </w:r>
    </w:p>
    <w:p w:rsidR="00F244BA" w:rsidRDefault="00AC19E4">
      <w:r>
        <w:t>Predstavnici ovog Ministarstva sudjelovali su na svim održanim sastancima tijekom 2024. odnosno na 8 sastanaka koridora i na 5 sastanaka RFC koridora (željeznički teretni koridori).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sudjelovanja na izvršnim odborima željezničkih teretnih koridora i forumima koridora osnovne mreže</w:t>
            </w:r>
          </w:p>
        </w:tc>
        <w:tc>
          <w:tcPr>
            <w:tcW w:w="2551" w:type="dxa"/>
          </w:tcPr>
          <w:p w:rsidR="00F244BA" w:rsidRDefault="00AC19E4">
            <w:pPr>
              <w:pStyle w:val="CellColumn"/>
              <w:jc w:val="left"/>
            </w:pPr>
            <w:r>
              <w:rPr>
                <w:rFonts w:cs="Times New Roman"/>
              </w:rPr>
              <w:t>Sudjelovanje na službenim sastancima izvršnih odbora željezničkih teretnih koridora i forumima koridora osnovne mreže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w:t>
            </w:r>
          </w:p>
        </w:tc>
        <w:tc>
          <w:tcPr>
            <w:tcW w:w="1020" w:type="dxa"/>
          </w:tcPr>
          <w:p w:rsidR="00F244BA" w:rsidRDefault="00AC19E4">
            <w:pPr>
              <w:pStyle w:val="CellColumn"/>
              <w:jc w:val="right"/>
            </w:pPr>
            <w:r>
              <w:rPr>
                <w:rFonts w:cs="Times New Roman"/>
              </w:rPr>
              <w:t>Interna evidencija MMPI; Službeni zapisnici s izvršnih odbora i foruma</w:t>
            </w:r>
          </w:p>
        </w:tc>
        <w:tc>
          <w:tcPr>
            <w:tcW w:w="1020" w:type="dxa"/>
          </w:tcPr>
          <w:p w:rsidR="00F244BA" w:rsidRDefault="00AC19E4">
            <w:pPr>
              <w:pStyle w:val="CellColumn"/>
              <w:jc w:val="right"/>
            </w:pPr>
            <w:r>
              <w:rPr>
                <w:rFonts w:cs="Times New Roman"/>
              </w:rPr>
              <w:t>14</w:t>
            </w:r>
          </w:p>
        </w:tc>
        <w:tc>
          <w:tcPr>
            <w:tcW w:w="1020" w:type="dxa"/>
          </w:tcPr>
          <w:p w:rsidR="00F244BA" w:rsidRDefault="00AC19E4">
            <w:pPr>
              <w:pStyle w:val="CellColumn"/>
              <w:jc w:val="right"/>
            </w:pPr>
            <w:r>
              <w:rPr>
                <w:rFonts w:cs="Times New Roman"/>
              </w:rPr>
              <w:t>13</w:t>
            </w:r>
          </w:p>
        </w:tc>
      </w:tr>
    </w:tbl>
    <w:p w:rsidR="00F244BA" w:rsidRDefault="00F244BA">
      <w:pPr>
        <w:jc w:val="left"/>
      </w:pPr>
    </w:p>
    <w:p w:rsidR="00F244BA" w:rsidRDefault="00AC19E4">
      <w:pPr>
        <w:pStyle w:val="Naslov4"/>
      </w:pPr>
      <w:r>
        <w:lastRenderedPageBreak/>
        <w:t>T754041 OP KONKURENTNOST I KOHEZIJA, SPECIFIČNI CILJ 2A1 RAZVOJ INFRASTRUKTURE ŠIROKOPOJASNE MREŽE SLJEDEĆE GENERACIJE</w:t>
      </w:r>
    </w:p>
    <w:tbl>
      <w:tblPr>
        <w:tblStyle w:val="StilTablice"/>
        <w:tblW w:w="10206" w:type="dxa"/>
        <w:jc w:val="center"/>
        <w:tblLook w:val="04A0" w:firstRow="1" w:lastRow="0" w:firstColumn="1" w:lastColumn="0" w:noHBand="0" w:noVBand="1"/>
      </w:tblPr>
      <w:tblGrid>
        <w:gridCol w:w="1893"/>
        <w:gridCol w:w="1965"/>
        <w:gridCol w:w="1965"/>
        <w:gridCol w:w="1965"/>
        <w:gridCol w:w="1205"/>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T754041-OP KONKURENTNOST I KOHEZIJA, SPECIFIČNI CILJ 2A1 RAZVOJ INFRASTRUKTURE ŠIROKOPOJASNE MREŽE SLJEDEĆE GENERACIJE</w:t>
            </w:r>
          </w:p>
        </w:tc>
        <w:tc>
          <w:tcPr>
            <w:tcW w:w="2041" w:type="dxa"/>
          </w:tcPr>
          <w:p w:rsidR="00F244BA" w:rsidRDefault="00AC19E4">
            <w:pPr>
              <w:pStyle w:val="CellColumn"/>
              <w:jc w:val="right"/>
            </w:pPr>
            <w:r>
              <w:rPr>
                <w:rFonts w:cs="Times New Roman"/>
              </w:rPr>
              <w:t>83.204.144</w:t>
            </w:r>
          </w:p>
        </w:tc>
        <w:tc>
          <w:tcPr>
            <w:tcW w:w="2041" w:type="dxa"/>
          </w:tcPr>
          <w:p w:rsidR="00F244BA" w:rsidRDefault="00AC19E4">
            <w:pPr>
              <w:pStyle w:val="CellColumn"/>
              <w:jc w:val="right"/>
            </w:pPr>
            <w:r>
              <w:rPr>
                <w:rFonts w:cs="Times New Roman"/>
              </w:rPr>
              <w:t>27.553.368</w:t>
            </w:r>
          </w:p>
        </w:tc>
        <w:tc>
          <w:tcPr>
            <w:tcW w:w="2041" w:type="dxa"/>
          </w:tcPr>
          <w:p w:rsidR="00F244BA" w:rsidRDefault="00AC19E4">
            <w:pPr>
              <w:pStyle w:val="CellColumn"/>
              <w:jc w:val="right"/>
            </w:pPr>
            <w:r>
              <w:rPr>
                <w:rFonts w:cs="Times New Roman"/>
              </w:rPr>
              <w:t>27.553.306</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33,1</w:t>
            </w:r>
          </w:p>
        </w:tc>
      </w:tr>
    </w:tbl>
    <w:p w:rsidR="00F244BA" w:rsidRDefault="00F244BA">
      <w:pPr>
        <w:jc w:val="left"/>
      </w:pPr>
    </w:p>
    <w:p w:rsidR="00F244BA" w:rsidRDefault="00AC19E4">
      <w:pPr>
        <w:pStyle w:val="Naslov8"/>
        <w:jc w:val="left"/>
      </w:pPr>
      <w:r>
        <w:t>Zakonske i druge pravne osnove</w:t>
      </w:r>
    </w:p>
    <w:p w:rsidR="00F244BA" w:rsidRDefault="00AC19E4">
      <w:r>
        <w:t xml:space="preserve">- Strategija Europa 2020 (ožujak 2010.) i Digitalna agenda za Europu do 2020.    </w:t>
      </w:r>
    </w:p>
    <w:p w:rsidR="00F244BA" w:rsidRDefault="00AC19E4">
      <w:r>
        <w:t xml:space="preserve">- Sporazum o partnerstvu između RH i EK za korištenje EU strukturnih i investicijskih fondova za rast i radna mjesta u razdoblju 2014.-2020.    </w:t>
      </w:r>
    </w:p>
    <w:p w:rsidR="00F244BA" w:rsidRDefault="00AC19E4">
      <w:r>
        <w:t xml:space="preserve">- Operativni program „Konkurentnost i kohezija 2014.-2020.“, izmjena odobrena od strane EK u studenom 2023. godine,    </w:t>
      </w:r>
    </w:p>
    <w:p w:rsidR="00F244BA" w:rsidRDefault="00AC19E4">
      <w:r>
        <w:t xml:space="preserve">- Zakon o uspostavi institucionalnog okvira za provedbu ESI fondova u RH u financijskom razdoblju 2014.-2020.    </w:t>
      </w:r>
    </w:p>
    <w:p w:rsidR="00F244BA" w:rsidRDefault="00AC19E4">
      <w:r>
        <w:t xml:space="preserve">- Uredba o tijelima u sustavima upravljanja i kontrole korištenja ESF, EFRR i KF, u vezi s ciljem „Ulaganje za rast i radna mjesta“   </w:t>
      </w:r>
    </w:p>
    <w:p w:rsidR="00F244BA" w:rsidRDefault="00AC19E4">
      <w:r>
        <w:t>- Sporazum o utvrđivanju uvjeta za dodjelu javnih sredstava u okviru Prioritetne osi 2 „Korištenje informacijske i komunikacijske tehnologije“, Specifičnog cilja 2a1 „Razvoj infrastrukture širokopojasne mreže sljedeće generacije u području bez infrastrukture širokopojasne mreže sljedeće generacije i bez dovoljnog komercijalnog interesa, za maksimalno povećanje socijalne i ekonomske dobrobiti“ Operativnog programa „Konkurentnost i kohezija“ u financijskom razdoblju 2014. – 2020. (dalje: Sporazum)</w:t>
      </w:r>
    </w:p>
    <w:p w:rsidR="00F244BA" w:rsidRDefault="00AC19E4">
      <w:pPr>
        <w:pStyle w:val="Naslov8"/>
        <w:jc w:val="left"/>
      </w:pPr>
      <w:r>
        <w:t>Opis aktivnosti</w:t>
      </w:r>
    </w:p>
    <w:p w:rsidR="00F244BA" w:rsidRDefault="00AC19E4">
      <w:r>
        <w:t xml:space="preserve">Provođenje aktivnosti OPKK SC2a1 ima za cilj postizanje ujednačenog pokrivanja hrvatskog teritorija brzim i ultra-brzim širokopojasnim pristupom internetu, sukladno ciljevima Digitalne agende za Europu (smanjenje digitalnog jaza). Sukladno odredbama Sporazuma, sklopljenog s MRRFEU, MMPI djeluje u svojstvu sektorski nadležnog tijela za OPKK SC2a1 te temeljem istog osigurava i isplaćuje sredstva krajnjim korisnicima bespovratnih sredstava, i to za provedbu dva podprojekta: Izgradnja širokopojasne agregacijske infrastrukture mreža nove generacije (NGN) u područjima u kojima ne postoji dostatan komercijalni interes za ulaganja (dalje: Agregacijska mreža) i  Izgradnja mreža sljedeće generacije (NGN)/pristupnih mreža sljedeće generacije (NGA) u NGA bijelim područjima (dalje: Pristupna mreža).  </w:t>
      </w:r>
    </w:p>
    <w:p w:rsidR="00F244BA" w:rsidRDefault="00AC19E4">
      <w:r>
        <w:t xml:space="preserve">Podprojekt Agregacijska mreža provodi se kroz dvije faze uslijed značajnog kašnjenja radi poteškoća u provedbi javne nabave, koja je ugovorena u prosincu 2023. Prva faza financira se iz programskog razdoblja 2014. – 2020., a druga faza je predviđena za financiranje iz programskog razdoblja 2021. – 2027. Vrijednost ugovorene 1. faze projekta iz OPKK iznosi 54.434.040,15 € bespovratnih sredstava, a sukladno stvarnoj realizaciji projekta do 31. prosinca 2023. Tijekom 2024. godine korisniku je isplaćeno ukupno 49.758,34 € temeljem odobrenja završnog ZNS-a za I. fazu provedbe projekta za odobrene troškove upravljanja projektom. </w:t>
      </w:r>
    </w:p>
    <w:p w:rsidR="00F244BA" w:rsidRDefault="00AC19E4">
      <w:r>
        <w:t>U okviru podprojekta Pristupna mreža ugovoren je 21 ugovor o dodjeli bespovratnih sredstava ukupne vrijednosti  91.196.038,31 €, od čega je u 2022. jedan ugovor raskinut, a od početka provedbe do kraja 2024. završeno je ukupno 12 projekata. Tijekom 2024. godine korisnicima je isplaćeno ukupno 27.503.547,75 € za odobrene troškove projektne dokumentacije, projektiranja, gradnje i stručnog nadzora gradnje NGA mreže, upravljanja projektom, promidžbe i vidljivosti te upravljanja projektom.</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izvršenih isplata korisniku prije krajnjeg roka za plaćanje</w:t>
            </w:r>
          </w:p>
        </w:tc>
        <w:tc>
          <w:tcPr>
            <w:tcW w:w="2551" w:type="dxa"/>
          </w:tcPr>
          <w:p w:rsidR="00F244BA" w:rsidRDefault="00AC19E4">
            <w:pPr>
              <w:pStyle w:val="CellColumn"/>
              <w:jc w:val="left"/>
            </w:pPr>
            <w:r>
              <w:rPr>
                <w:rFonts w:cs="Times New Roman"/>
              </w:rPr>
              <w:t>Udio izvršenih isplata korisniku prije krajnjeg roka za plaćanje u ukupnom broju izvršenih isplata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94</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94</w:t>
            </w:r>
          </w:p>
        </w:tc>
        <w:tc>
          <w:tcPr>
            <w:tcW w:w="1020" w:type="dxa"/>
          </w:tcPr>
          <w:p w:rsidR="00F244BA" w:rsidRDefault="00AC19E4">
            <w:pPr>
              <w:pStyle w:val="CellColumn"/>
              <w:jc w:val="right"/>
            </w:pPr>
            <w:r>
              <w:rPr>
                <w:rFonts w:cs="Times New Roman"/>
              </w:rPr>
              <w:t>94</w:t>
            </w:r>
          </w:p>
        </w:tc>
      </w:tr>
    </w:tbl>
    <w:p w:rsidR="00F244BA" w:rsidRDefault="00F244BA">
      <w:pPr>
        <w:jc w:val="left"/>
      </w:pPr>
    </w:p>
    <w:p w:rsidR="00F244BA" w:rsidRDefault="00AC19E4">
      <w:pPr>
        <w:pStyle w:val="Naslov4"/>
      </w:pPr>
      <w:r>
        <w:t>T820077 NACIONALNI PLAN OPORAVKA I OTPORNOSTI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T820077-NACIONALNI PLAN OPORAVKA I OTPORNOSTI</w:t>
            </w:r>
          </w:p>
        </w:tc>
        <w:tc>
          <w:tcPr>
            <w:tcW w:w="2041" w:type="dxa"/>
          </w:tcPr>
          <w:p w:rsidR="00F244BA" w:rsidRDefault="00AC19E4">
            <w:pPr>
              <w:pStyle w:val="CellColumn"/>
              <w:jc w:val="right"/>
            </w:pPr>
            <w:r>
              <w:rPr>
                <w:rFonts w:cs="Times New Roman"/>
              </w:rPr>
              <w:t>103.534.167</w:t>
            </w:r>
          </w:p>
        </w:tc>
        <w:tc>
          <w:tcPr>
            <w:tcW w:w="2041" w:type="dxa"/>
          </w:tcPr>
          <w:p w:rsidR="00F244BA" w:rsidRDefault="00AC19E4">
            <w:pPr>
              <w:pStyle w:val="CellColumn"/>
              <w:jc w:val="right"/>
            </w:pPr>
            <w:r>
              <w:rPr>
                <w:rFonts w:cs="Times New Roman"/>
              </w:rPr>
              <w:t>36.171.499</w:t>
            </w:r>
          </w:p>
        </w:tc>
        <w:tc>
          <w:tcPr>
            <w:tcW w:w="2041" w:type="dxa"/>
          </w:tcPr>
          <w:p w:rsidR="00F244BA" w:rsidRDefault="00AC19E4">
            <w:pPr>
              <w:pStyle w:val="CellColumn"/>
              <w:jc w:val="right"/>
            </w:pPr>
            <w:r>
              <w:rPr>
                <w:rFonts w:cs="Times New Roman"/>
              </w:rPr>
              <w:t>35.266.550</w:t>
            </w:r>
          </w:p>
        </w:tc>
        <w:tc>
          <w:tcPr>
            <w:tcW w:w="1224" w:type="dxa"/>
          </w:tcPr>
          <w:p w:rsidR="00F244BA" w:rsidRDefault="00AC19E4">
            <w:pPr>
              <w:pStyle w:val="CellColumn"/>
              <w:jc w:val="right"/>
            </w:pPr>
            <w:r>
              <w:rPr>
                <w:rFonts w:cs="Times New Roman"/>
              </w:rPr>
              <w:t>97,5</w:t>
            </w:r>
          </w:p>
        </w:tc>
        <w:tc>
          <w:tcPr>
            <w:tcW w:w="1224" w:type="dxa"/>
          </w:tcPr>
          <w:p w:rsidR="00F244BA" w:rsidRDefault="00AC19E4">
            <w:pPr>
              <w:pStyle w:val="CellColumn"/>
              <w:jc w:val="right"/>
            </w:pPr>
            <w:r>
              <w:rPr>
                <w:rFonts w:cs="Times New Roman"/>
              </w:rPr>
              <w:t>34,1</w:t>
            </w:r>
          </w:p>
        </w:tc>
      </w:tr>
    </w:tbl>
    <w:p w:rsidR="00F244BA" w:rsidRDefault="00F244BA">
      <w:pPr>
        <w:jc w:val="left"/>
      </w:pPr>
    </w:p>
    <w:p w:rsidR="00F244BA" w:rsidRDefault="00AC19E4">
      <w:pPr>
        <w:pStyle w:val="Naslov8"/>
        <w:jc w:val="left"/>
      </w:pPr>
      <w:r>
        <w:t>Zakonske i druge pravne osnove</w:t>
      </w:r>
    </w:p>
    <w:p w:rsidR="00F244BA" w:rsidRDefault="00AC19E4">
      <w:r>
        <w:t xml:space="preserve">- Uredba (EU) 2021/241 Europskog Parlamenta i Vijeća od 12. veljače 2021. godine o uspostavi Mehanizma za oporavak i otpornost Odluka o sustavu upravljanja i praćenja provedbe aktivnosti u okviru Nacionalnog plana oporavka i otpornosti 2021. – 2026.   </w:t>
      </w:r>
    </w:p>
    <w:p w:rsidR="00F244BA" w:rsidRDefault="00AC19E4">
      <w:r>
        <w:t xml:space="preserve">- Nacionalna razvojna strategija Republike Hrvatske do 2030. godine  </w:t>
      </w:r>
    </w:p>
    <w:p w:rsidR="00F244BA" w:rsidRDefault="00AC19E4">
      <w:r>
        <w:t xml:space="preserve">- Nacionalni plan oporavka i otpornosti 2021.-2026., srpanj 2021.  </w:t>
      </w:r>
    </w:p>
    <w:p w:rsidR="00F244BA" w:rsidRDefault="00AC19E4">
      <w:r>
        <w:t xml:space="preserve">- Dodatak Nacionalnom planu oporavka i otpornosti 2021.-2026., studeni 2023. </w:t>
      </w:r>
    </w:p>
    <w:p w:rsidR="00F244BA" w:rsidRDefault="00AC19E4">
      <w:r>
        <w:t>- Sporazum o delegiranim poslovima između Tijela državne uprave nadležnih za komponentu/podkomponentu Nacionalnog plana oporavka i otpornosti i Provedbenih tijela od 17. svibnja 2022.</w:t>
      </w:r>
    </w:p>
    <w:p w:rsidR="00F244BA" w:rsidRDefault="00AC19E4">
      <w:pPr>
        <w:pStyle w:val="Naslov8"/>
        <w:jc w:val="left"/>
      </w:pPr>
      <w:r>
        <w:t>Opis aktivnosti</w:t>
      </w:r>
    </w:p>
    <w:p w:rsidR="00F244BA" w:rsidRDefault="00AC19E4">
      <w:r>
        <w:t xml:space="preserve">Europska komisija je krajem svibnja 2020. godine, slijedom COVID-19  pandemije, predstavila vrlo sveobuhvatan paket u kojem je povezala budući višegodišnji financijski okvir (VFO) 2021.-2027. s posebnom pažnjom na oporavku u okviru instrumenta „EU sljedeće generacije“ (eng. Next Generation EU - NGEU). Jedan od pojedinačnih programa u okviru EU sljedeće generacije je Mehanizam za oporavak i otpornost (eng. Recovery and Resilience Facility – RRF) u sklopu kojeg države članice pripremaju nacionalne planove za oporavak i otpornost kojima se utvrđuje plan reformi i ulaganja dotične države članice.  </w:t>
      </w:r>
    </w:p>
    <w:p w:rsidR="00F244BA" w:rsidRDefault="00AC19E4">
      <w:r>
        <w:t xml:space="preserve">Temeljem Odluke o sustavu upravljanja i praćenja provedbe aktivnosti u okviru Nacionalnog plana oporavka i otpornosti 2021.-2026., ovo je Ministarstvo imenovano kao Nadležno tijelo (NT) za komponentu / podkomponentu  C1.4. Razvoj konkurentnog, energetski održivog i učinkovitog prometnog sustava te za dvije investicije unutar C2.3. Digitalna transformacija društva i javne uprave. </w:t>
      </w:r>
    </w:p>
    <w:p w:rsidR="00F244BA" w:rsidRDefault="00AC19E4">
      <w:r>
        <w:t xml:space="preserve">Od početka provedbe do kraja 2024. sklopljeno je 36 Ugovora o dodjeli bespovratnih sredstava u iznosu od 453.247.490,60 €, od čega je u 2024. sklopljeno 24 ugovora kojima je dodijeljeno 121.901.430,12 €. Završena su 2 ugovora, od čega jedan u 2024. </w:t>
      </w:r>
    </w:p>
    <w:p w:rsidR="00F244BA" w:rsidRDefault="00AC19E4">
      <w:r>
        <w:t xml:space="preserve">Ugovor „Unaprjeđenje sustava korištenja prava osoba s invaliditetom u području mobilnosti“ završen je 29.8.2024. godine. Ukupan iznos isplaćenih bespovratnih sredstava iznosio je 1.883.983,85 €. Završenim projektom ostvareno je brže i jednostavnije ostvarivanje prava osobama s invaliditetom na području mobilnosti uspostavom centralnog digitalnog sustava, uvođenjem Nacionalne i Europske iskaznice za osobe s invaliditetom (e-kartica) te Europske parkirališne karte za osobe s invaliditetom. </w:t>
      </w:r>
    </w:p>
    <w:p w:rsidR="00F244BA" w:rsidRDefault="00AC19E4">
      <w:r>
        <w:lastRenderedPageBreak/>
        <w:t>Od početka provedbe do kraja 2024. izvršena je ukupno 61 isplata korisnicima, od čega 38 prije krajnjeg roka za plaćanje. U kumulativnom iskazu pokazatelja rezultata, odstupanje se odnosi na 21 plaćanje korisnicima izvršeno s krajnjim rokom plaćanja, te 2 nakon krajnjeg roka. Isplate korisnicima izvršavane su u najkraćem mogućem roku po primitku odobrenih Zahtjeva za plaćanje od SAFU-a.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izvršenih isplata korisniku prije krajnjeg roka za plaćanje</w:t>
            </w:r>
          </w:p>
        </w:tc>
        <w:tc>
          <w:tcPr>
            <w:tcW w:w="2551" w:type="dxa"/>
          </w:tcPr>
          <w:p w:rsidR="00F244BA" w:rsidRDefault="00AC19E4">
            <w:pPr>
              <w:pStyle w:val="CellColumn"/>
              <w:jc w:val="left"/>
            </w:pPr>
            <w:r>
              <w:rPr>
                <w:rFonts w:cs="Times New Roman"/>
              </w:rPr>
              <w:t>Udio izvršenih isplata korisniku prije krajnjeg roka za plaćanje u ukupnom broju izvršenih isplata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75</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75</w:t>
            </w:r>
          </w:p>
        </w:tc>
        <w:tc>
          <w:tcPr>
            <w:tcW w:w="1020" w:type="dxa"/>
          </w:tcPr>
          <w:p w:rsidR="00F244BA" w:rsidRDefault="00AC19E4">
            <w:pPr>
              <w:pStyle w:val="CellColumn"/>
              <w:jc w:val="right"/>
            </w:pPr>
            <w:r>
              <w:rPr>
                <w:rFonts w:cs="Times New Roman"/>
              </w:rPr>
              <w:t>62</w:t>
            </w:r>
          </w:p>
        </w:tc>
      </w:tr>
    </w:tbl>
    <w:p w:rsidR="00F244BA" w:rsidRDefault="00F244BA">
      <w:pPr>
        <w:jc w:val="left"/>
      </w:pPr>
    </w:p>
    <w:p w:rsidR="00F244BA" w:rsidRDefault="00AC19E4">
      <w:pPr>
        <w:pStyle w:val="Naslov4"/>
      </w:pPr>
      <w:r>
        <w:t>T820079 PROGRAM KONKURENTNOST I KOHEZIJA 2021.-2027.</w:t>
      </w:r>
    </w:p>
    <w:tbl>
      <w:tblPr>
        <w:tblStyle w:val="StilTablice"/>
        <w:tblW w:w="10206" w:type="dxa"/>
        <w:jc w:val="center"/>
        <w:tblLook w:val="04A0" w:firstRow="1" w:lastRow="0" w:firstColumn="1" w:lastColumn="0" w:noHBand="0" w:noVBand="1"/>
      </w:tblPr>
      <w:tblGrid>
        <w:gridCol w:w="1881"/>
        <w:gridCol w:w="1964"/>
        <w:gridCol w:w="1971"/>
        <w:gridCol w:w="1971"/>
        <w:gridCol w:w="1206"/>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T820079-PROGRAM KONKURENTNOST I KOHEZIJA 2021.-2027.</w:t>
            </w:r>
          </w:p>
        </w:tc>
        <w:tc>
          <w:tcPr>
            <w:tcW w:w="2041" w:type="dxa"/>
          </w:tcPr>
          <w:p w:rsidR="00F244BA" w:rsidRDefault="00AC19E4">
            <w:pPr>
              <w:pStyle w:val="CellColumn"/>
              <w:jc w:val="right"/>
            </w:pPr>
            <w:r>
              <w:rPr>
                <w:rFonts w:cs="Times New Roman"/>
              </w:rPr>
              <w:t>2.081.059</w:t>
            </w:r>
          </w:p>
        </w:tc>
        <w:tc>
          <w:tcPr>
            <w:tcW w:w="2041" w:type="dxa"/>
          </w:tcPr>
          <w:p w:rsidR="00F244BA" w:rsidRDefault="00AC19E4">
            <w:pPr>
              <w:pStyle w:val="CellColumn"/>
              <w:jc w:val="right"/>
            </w:pPr>
            <w:r>
              <w:rPr>
                <w:rFonts w:cs="Times New Roman"/>
              </w:rPr>
              <w:t>47.745.731</w:t>
            </w:r>
          </w:p>
        </w:tc>
        <w:tc>
          <w:tcPr>
            <w:tcW w:w="2041" w:type="dxa"/>
          </w:tcPr>
          <w:p w:rsidR="00F244BA" w:rsidRDefault="00AC19E4">
            <w:pPr>
              <w:pStyle w:val="CellColumn"/>
              <w:jc w:val="right"/>
            </w:pPr>
            <w:r>
              <w:rPr>
                <w:rFonts w:cs="Times New Roman"/>
              </w:rPr>
              <w:t>40.192.219</w:t>
            </w:r>
          </w:p>
        </w:tc>
        <w:tc>
          <w:tcPr>
            <w:tcW w:w="1224" w:type="dxa"/>
          </w:tcPr>
          <w:p w:rsidR="00F244BA" w:rsidRDefault="00AC19E4">
            <w:pPr>
              <w:pStyle w:val="CellColumn"/>
              <w:jc w:val="right"/>
            </w:pPr>
            <w:r>
              <w:rPr>
                <w:rFonts w:cs="Times New Roman"/>
              </w:rPr>
              <w:t>84,2</w:t>
            </w:r>
          </w:p>
        </w:tc>
        <w:tc>
          <w:tcPr>
            <w:tcW w:w="1224" w:type="dxa"/>
          </w:tcPr>
          <w:p w:rsidR="00F244BA" w:rsidRDefault="00AC19E4">
            <w:pPr>
              <w:pStyle w:val="CellColumn"/>
              <w:jc w:val="right"/>
            </w:pPr>
            <w:r>
              <w:rPr>
                <w:rFonts w:cs="Times New Roman"/>
              </w:rPr>
              <w:t>1931,3</w:t>
            </w:r>
          </w:p>
        </w:tc>
      </w:tr>
    </w:tbl>
    <w:p w:rsidR="00F244BA" w:rsidRDefault="00F244BA">
      <w:pPr>
        <w:jc w:val="left"/>
      </w:pPr>
    </w:p>
    <w:p w:rsidR="00F244BA" w:rsidRDefault="00AC19E4">
      <w:pPr>
        <w:pStyle w:val="Naslov8"/>
        <w:jc w:val="left"/>
      </w:pPr>
      <w:r>
        <w:t>Zakonske i druge pravne osnove</w:t>
      </w:r>
    </w:p>
    <w:p w:rsidR="00F244BA" w:rsidRDefault="00AC19E4">
      <w:r>
        <w:t xml:space="preserve">- Sporazum o partnerstvu s Republikom Hrvatskom za financijsko razdoblje 2021. – 2027. (24.8.2022.) </w:t>
      </w:r>
    </w:p>
    <w:p w:rsidR="00F244BA" w:rsidRDefault="00AC19E4">
      <w:r>
        <w:t xml:space="preserve">- Zakon o institucionalnom okviru za korištenje fondova Europske unije u Republici Hrvatskoj   </w:t>
      </w:r>
    </w:p>
    <w:p w:rsidR="00F244BA" w:rsidRDefault="00AC19E4">
      <w:r>
        <w:t xml:space="preserve">- Uredba o tijelima u Sustavu upravljanja i kontrole za provedbu programa iz područja konkurentnosti i kohezije za financijsko razdoblje 2021. – 2027. (dalje: Uredba)  </w:t>
      </w:r>
    </w:p>
    <w:p w:rsidR="00F244BA" w:rsidRDefault="00AC19E4">
      <w:r>
        <w:t xml:space="preserve">- Strategija prometnog razvoja Republike Hrvatske za razdoblje od 2017. do 2030.  </w:t>
      </w:r>
    </w:p>
    <w:p w:rsidR="00F244BA" w:rsidRDefault="00AC19E4">
      <w:r>
        <w:t>- Program Konkurentnost i kohezija 2021.-2027., odobren od strane EK 9. studenoga 2022. godine</w:t>
      </w:r>
    </w:p>
    <w:p w:rsidR="00F244BA" w:rsidRDefault="00AC19E4">
      <w:pPr>
        <w:pStyle w:val="Naslov8"/>
        <w:jc w:val="left"/>
      </w:pPr>
      <w:r>
        <w:t>Opis aktivnosti</w:t>
      </w:r>
    </w:p>
    <w:p w:rsidR="00F244BA" w:rsidRDefault="00AC19E4">
      <w:r>
        <w:t xml:space="preserve">Europska komisija je 24. kolovoza 2022. usvojila Sporazum o partnerstvu s Republikom Hrvatskom za financijsko razdoblje 2021. – 2027., utvrđujući strategiju ulaganja u iznosu od 9 milijardi eura iz fondova EU za gospodarski i društveni razvoj do 2027. </w:t>
      </w:r>
    </w:p>
    <w:p w:rsidR="00F244BA" w:rsidRDefault="00AC19E4">
      <w:r>
        <w:t xml:space="preserve">PKK 2021.-2027. postavlja ciljeve i prioritete za učinkovito korištenje Europskog fonda za regionalni razvoj (EFRR) i Kohezijskog fonda (KF) za razdoblje 2021.-2027. Glavni cilj podržanih intervencija je ojačati gospodarstvo, poduprijeti digitalnu i zelenu tranziciju, digitalizacija za građane i poduzeća, poboljšati povezanost i mobilnost u cijeloj Republici Hrvatskoj i ojačati kvalitetu života stanovništva.  </w:t>
      </w:r>
    </w:p>
    <w:p w:rsidR="00F244BA" w:rsidRDefault="00AC19E4">
      <w:r>
        <w:t xml:space="preserve">PKK 2021.-2027. se temelji na NRS 2030, najvišem aktu strateškog planiranja koji određuje trenutno stanje, razvojne potencijale, viziju, smjernice razvoja, strateške ciljeve i scenarije razvoja. Ulaganja iz EU fondova doprinijet će uravnoteženom regionalnom razvoju.  </w:t>
      </w:r>
    </w:p>
    <w:p w:rsidR="00F244BA" w:rsidRDefault="00AC19E4">
      <w:r>
        <w:t xml:space="preserve">Sukladno odredbama Uredbe o tijelima u sustavu upravljanja i kontrole za provedbu programa iz područja konkurentnosti i kohezije za financijsko razdoblje 2021. – 2027., ovo Ministarstvo djeluje u svojstvu PT 1 za relevantne specifične ciljeve, dok je u svojstvu PT 2 nadležna SAFU. </w:t>
      </w:r>
    </w:p>
    <w:p w:rsidR="00F244BA" w:rsidRDefault="00AC19E4">
      <w:r>
        <w:t xml:space="preserve">U novom financijskom razdoblju 2021.-2027. nastavlja se provedba 14 projekata koji su fazirani, a čija je provedba započela u OPKK 2014. – 2020. Također, nastavlja se financirati prometna i digitalna infrastruktura sredstvima KF i EFRR, s razdobljem prihvatljivosti troškova do kraja 2029., a 2030. je zadnja godina financiranja iz PKK. </w:t>
      </w:r>
    </w:p>
    <w:p w:rsidR="00F244BA" w:rsidRDefault="00AC19E4">
      <w:r>
        <w:lastRenderedPageBreak/>
        <w:t xml:space="preserve">Tijekom 2024. potpisan je 21 Ugovor o dodjeli bespovratnih sredstava u iznosu od 554.367.248,93 €, od čega 14 ugovora za fazirane projekte, u iznosu od 483.394.138,42 €, dok se preostalih 7 ugovora, u iznosu od 70.973.110,51 €, odnosi na nove lučke projekte.  </w:t>
      </w:r>
    </w:p>
    <w:p w:rsidR="00F244BA" w:rsidRDefault="00AC19E4">
      <w:r>
        <w:t xml:space="preserve"> </w:t>
      </w:r>
    </w:p>
    <w:p w:rsidR="00F244BA" w:rsidRDefault="00AC19E4">
      <w:r>
        <w:t xml:space="preserve"> </w:t>
      </w:r>
    </w:p>
    <w:p w:rsidR="00F244BA" w:rsidRDefault="00AC19E4">
      <w:r>
        <w:t xml:space="preserve">Tijekom 2024. završena je provedba 2 fazirana ugovora: </w:t>
      </w:r>
    </w:p>
    <w:p w:rsidR="00F244BA" w:rsidRDefault="00AC19E4">
      <w:r>
        <w:t xml:space="preserve">"Obnova voznog parka HŽ putničkog prijevoza novim elektromotornim vlakovima - II faza": Dovršetkom projekta nabavljen je ukupno 21 novi elektromotorni vlak (11 za gradsko-prigradski prijevoz i 10 za regionalne linije), od čega su posljednja isporučena 4 vlaka sufinancirana kroz PKK 2021.-2027. Novi vlakovi putnicima će pružiti veću udobnost, smanjiti vrijeme putovanja, osigurati veći kapacitet i pouzdaniji prijevoz u cilju motivacije korisnika na korištenje željezničkoga putničkog prijevoza.  </w:t>
      </w:r>
    </w:p>
    <w:p w:rsidR="00F244BA" w:rsidRDefault="00AC19E4">
      <w:r>
        <w:t xml:space="preserve">"Dogradnja gradske luke Sali na Dugom otoku - Faza II": Dovršetkom projekta povećava se sigurnost pomorskog prometa u luci, osiguranje usluge prijevoza tijekom cijele godine te bolja povezanost Dugog otoka s kopnom. U drugoj fazi projekta izvršene su aktivnosti na otklanjanju nedostataka utvrđenih Zapisnikom o izvršenom tehničkom pregledu građevine, aktivnosti stručnog nadzora i ostale potrebne aktivnosti za ishođenje Uporabne dozvole i dovršetak ugovorenih aktivnosti promidžbe i vidljivosti.  </w:t>
      </w:r>
    </w:p>
    <w:p w:rsidR="00F244BA" w:rsidRDefault="00AC19E4">
      <w:r>
        <w:t xml:space="preserve">Ostatak izvršenih sredstava odnosi se na plaćanja za drugu fazu provedbe 2 lučka projekta, 2 projekta tramvajske infrastrukture na području Zagreba i Osijeka, Projekt osiguranja i modernizacije željezničko-cestovnih prijelaza, za projekt Uvođenje inteligentnih transportnih sustava na funkcionalnom prometnom području Grada Splita te troškove prihvatljive za financiranje iz tehničke pomoći PKK 2021.-2027. dodijeljene MMPI-ju kao tijelu u sustavu upravljanja i kontrole za provedbu programa iz područja konkurentnosti i kohezije za financijsko razdoblje 2021. – 2027.  </w:t>
      </w:r>
    </w:p>
    <w:p w:rsidR="00F244BA" w:rsidRDefault="00AC19E4">
      <w:r>
        <w:t xml:space="preserve">Manji iznos planiranih sredstava nije utrošen zbog smanjenog iznosa odobrenih troškova projekata u odnosu na očekivano obzirom na izuzimanje troškova od strane PT 2 do utvrđivanja relevantnih činjenica za prihvatljivost troška i podnošenje završnih ZNS-ova. </w:t>
      </w:r>
    </w:p>
    <w:p w:rsidR="00F244BA" w:rsidRDefault="00AC19E4">
      <w:r>
        <w:t>Od početka provedbe do kraja 2024. izvršeno je ukupno 12 isplata korisnicima, od čega 10 prije krajnjeg roka za plaćanje. U kumulativnom iskazu pokazatelja rezultata, odstupanje se odnosi na 1 plaćanje korisniku izvršeno s krajnjim rokom plaćanja, te 1 nakon krajnjeg roka. Isplate korisnicima izvršavane su u najkraćem mogućem roku po primitku odobrenih Zahtjeva za plaćanje od SAFU-a.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izvršenih isplata korisniku prije krajnjeg roka za plaćanje</w:t>
            </w:r>
          </w:p>
        </w:tc>
        <w:tc>
          <w:tcPr>
            <w:tcW w:w="2551" w:type="dxa"/>
          </w:tcPr>
          <w:p w:rsidR="00F244BA" w:rsidRDefault="00AC19E4">
            <w:pPr>
              <w:pStyle w:val="CellColumn"/>
              <w:jc w:val="left"/>
            </w:pPr>
            <w:r>
              <w:rPr>
                <w:rFonts w:cs="Times New Roman"/>
              </w:rPr>
              <w:t>Udio izvršenih isplata korisniku prije krajnjeg roka za plaćanje u ukupnom broju izvršenih isplata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95</w:t>
            </w:r>
          </w:p>
        </w:tc>
        <w:tc>
          <w:tcPr>
            <w:tcW w:w="1020" w:type="dxa"/>
          </w:tcPr>
          <w:p w:rsidR="00F244BA" w:rsidRDefault="00AC19E4">
            <w:pPr>
              <w:pStyle w:val="CellColumn"/>
              <w:jc w:val="right"/>
            </w:pPr>
            <w:r>
              <w:rPr>
                <w:rFonts w:cs="Times New Roman"/>
              </w:rPr>
              <w:t>83</w:t>
            </w:r>
          </w:p>
        </w:tc>
      </w:tr>
    </w:tbl>
    <w:p w:rsidR="00F244BA" w:rsidRDefault="00F244BA">
      <w:pPr>
        <w:jc w:val="left"/>
      </w:pPr>
    </w:p>
    <w:p w:rsidR="00F244BA" w:rsidRDefault="00AC19E4">
      <w:pPr>
        <w:pStyle w:val="Naslov4"/>
      </w:pPr>
      <w:r>
        <w:t>T821080 FOND SOLIDARNOSTI EUROPSKE UNIJE-PODRUČJE PRIJEVOZA, POŠTA I TELEKOMUNIKACIJA</w:t>
      </w:r>
    </w:p>
    <w:tbl>
      <w:tblPr>
        <w:tblStyle w:val="StilTablice"/>
        <w:tblW w:w="10206" w:type="dxa"/>
        <w:jc w:val="center"/>
        <w:tblLook w:val="04A0" w:firstRow="1" w:lastRow="0" w:firstColumn="1" w:lastColumn="0" w:noHBand="0" w:noVBand="1"/>
      </w:tblPr>
      <w:tblGrid>
        <w:gridCol w:w="2137"/>
        <w:gridCol w:w="1904"/>
        <w:gridCol w:w="1889"/>
        <w:gridCol w:w="1889"/>
        <w:gridCol w:w="1186"/>
        <w:gridCol w:w="1201"/>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T821080-FOND SOLIDARNOSTI EUROPSKE UNIJE-PODRUČJE PRIJEVOZA, POŠTA I TELEKOMUNIKACIJA</w:t>
            </w:r>
          </w:p>
        </w:tc>
        <w:tc>
          <w:tcPr>
            <w:tcW w:w="2041" w:type="dxa"/>
          </w:tcPr>
          <w:p w:rsidR="00F244BA" w:rsidRDefault="00AC19E4">
            <w:pPr>
              <w:pStyle w:val="CellColumn"/>
              <w:jc w:val="right"/>
            </w:pPr>
            <w:r>
              <w:rPr>
                <w:rFonts w:cs="Times New Roman"/>
              </w:rPr>
              <w:t>269.951.555</w:t>
            </w:r>
          </w:p>
        </w:tc>
        <w:tc>
          <w:tcPr>
            <w:tcW w:w="2041" w:type="dxa"/>
          </w:tcPr>
          <w:p w:rsidR="00F244BA" w:rsidRDefault="00AC19E4">
            <w:pPr>
              <w:pStyle w:val="CellColumn"/>
              <w:jc w:val="right"/>
            </w:pPr>
            <w:r>
              <w:rPr>
                <w:rFonts w:cs="Times New Roman"/>
              </w:rPr>
              <w:t>14.864.789</w:t>
            </w:r>
          </w:p>
        </w:tc>
        <w:tc>
          <w:tcPr>
            <w:tcW w:w="2041" w:type="dxa"/>
          </w:tcPr>
          <w:p w:rsidR="00F244BA" w:rsidRDefault="00AC19E4">
            <w:pPr>
              <w:pStyle w:val="CellColumn"/>
              <w:jc w:val="right"/>
            </w:pPr>
            <w:r>
              <w:rPr>
                <w:rFonts w:cs="Times New Roman"/>
              </w:rPr>
              <w:t>14.858.358</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5,5</w:t>
            </w:r>
          </w:p>
        </w:tc>
      </w:tr>
    </w:tbl>
    <w:p w:rsidR="00F244BA" w:rsidRDefault="00F244BA">
      <w:pPr>
        <w:jc w:val="left"/>
      </w:pPr>
    </w:p>
    <w:p w:rsidR="00F244BA" w:rsidRDefault="00AC19E4">
      <w:pPr>
        <w:pStyle w:val="Naslov8"/>
        <w:jc w:val="left"/>
      </w:pPr>
      <w:r>
        <w:t>Zakonske i druge pravne osnove</w:t>
      </w:r>
    </w:p>
    <w:p w:rsidR="00F244BA" w:rsidRDefault="00AC19E4">
      <w:r>
        <w:t xml:space="preserve">- Odluka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Bjelovarsko-bilogorske županije i Koprivničko-križevačke županije, imenovanju i određivanju zaduženja nacionalnog koordinacijskog tijela, tijela odgovornih za provedbu financijskog doprinosa i neovisnog revizorskog tijela  </w:t>
      </w:r>
    </w:p>
    <w:p w:rsidR="00F244BA" w:rsidRDefault="00AC19E4">
      <w:r>
        <w:t xml:space="preserve">- Odluka o načinu raspodjele bespovratnih financijskih sredstava iz Fonda solidarnosti Europske unije odobrenih za financiranje sanacije šteta od potresa na području Grada Zagreba, Krapinsko-zagorske županije i Zagrebačke županije, imenovanju i određivanju zaduženja nacionalnog koordinacijskog tijela, tijela odgovornih za provedbu financijskog doprinosa i neovisnog revizorskog tijela  </w:t>
      </w:r>
    </w:p>
    <w:p w:rsidR="00F244BA" w:rsidRDefault="00AC19E4">
      <w:r>
        <w:t xml:space="preserve">- Odluka o provođenju aktivnosti vezanih za operacije koje se financiraju iz Fonda solidarnosti Europske unije iz djelokruga tijela odgovornih za provedbu financijskog doprinosa  </w:t>
      </w:r>
    </w:p>
    <w:p w:rsidR="00F244BA" w:rsidRDefault="00AC19E4">
      <w:r>
        <w:t xml:space="preserve">- Odluka Vlade Republike Hrvatske o nastavku financiranja projekata započetih iz Fonda solidarnosti Europske unije iz sredstava državnog proračuna Republike Hrvatske od 28. lipnja 2023.  </w:t>
      </w:r>
    </w:p>
    <w:p w:rsidR="00F244BA" w:rsidRDefault="00AC19E4">
      <w:r>
        <w:t>- Uputa Ministarstva prostornoga uređenja, graditeljstva i državne imovine o načinu financiranja projekata započetih iz Fonda solidarnosti Europske unije od 27. srpnja 2023.</w:t>
      </w:r>
    </w:p>
    <w:p w:rsidR="00F244BA" w:rsidRDefault="00AC19E4">
      <w:pPr>
        <w:pStyle w:val="Naslov8"/>
        <w:jc w:val="left"/>
      </w:pPr>
      <w:r>
        <w:t>Opis aktivnosti</w:t>
      </w:r>
    </w:p>
    <w:p w:rsidR="00F244BA" w:rsidRDefault="00AC19E4">
      <w:r>
        <w:t xml:space="preserve">Ovo Ministarstvo je u ulozi tijela odgovornog za provedbu financijskog doprinosa (TOPFD) za operacije koje se financiraju iz FSEU. Od početka provedbe do kraja 2024., ukupno je ugovoreno 53 Ugovora o dodjeli bespovratnih financijskih sredstava (31 ugovor za Petrinjski potres i 22 ugovora za Zagrebački potres) te je doneseno 159 Odluka o isplati vezano za dodjelu bespovratnih financijskih sredstava putem Jednostavne izravne dodjele bespovratnih financijskih sredstava za aktivnosti koje se financiraju iz FSEU (113 Odluka za Petrinjski potres i 46 Odluka za Zagrebački potres) ukupne vrijednosti 347.064.031 €. </w:t>
      </w:r>
    </w:p>
    <w:p w:rsidR="00F244BA" w:rsidRDefault="00AC19E4">
      <w:r>
        <w:t xml:space="preserve">U 2024. godini nastavljena je provedba projekata započetih prethodne godine i donesena je 1 Odluka o isplati vezano za dodjelu bespovratnih financijskih sredstava putem Jednostavne izravne dodjele bespovratnih financijskih sredstava za aktivnosti koje se financiraju iz FSEU (za Zagrebački potres). Preizvršena sredstva u odnosu na dodijeljenu alokaciju osigurana su Odlukom Vlade Republike Hrvatske o nastavku financiranja projekata započetih iz Fonda solidarnosti Europske unije iz sredstava državnog proračuna Republike Hrvatske, s pozicija Ministarstva financija, tekućeg projekta T767069 Provedba projekata. </w:t>
      </w:r>
    </w:p>
    <w:p w:rsidR="00F244BA" w:rsidRDefault="00AC19E4">
      <w:r>
        <w:t xml:space="preserve">Tijekom 2024. izvršeno je ukupno 26 isplata korisnicima te su proračunska sredstva u ukupnom iznosu od 14.841.468,40  € utrošena za sanaciju prometnica, klizišta, mostova i propusta, stručnog nadzora nad izvedenim radovima, kontrolnih ispitivanja sanacije, pripremu projektno-tehničke dokumentacije i dr. Preostala sredstva u iznosu od 16.889,63 € odnose se na troškove Uprave za EU fondove i strateško planiranje vezane uz izvršenje provjera na licu mjesta za FSEU projekte. </w:t>
      </w:r>
    </w:p>
    <w:p w:rsidR="00F244BA" w:rsidRDefault="00AC19E4">
      <w:r>
        <w:t xml:space="preserve"> </w:t>
      </w:r>
    </w:p>
    <w:p w:rsidR="00F244BA" w:rsidRDefault="00AC19E4">
      <w:r>
        <w:t>Od početka provedbe do kraja 2024. izvršeno je ukupno 481 isplata korisnicima, od čega 260 prije krajnjeg roka za plaćanje. U kumulativnom iskazu pokazatelja rezultata, odstupanje se odnosi na plaćanja korisniku s krajnjim rokom plaćanja ili nakon krajnjeg roka plaćanje.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izvršenih isplata korisniku prije krajnjeg roka za plaćanje</w:t>
            </w:r>
          </w:p>
        </w:tc>
        <w:tc>
          <w:tcPr>
            <w:tcW w:w="2551" w:type="dxa"/>
          </w:tcPr>
          <w:p w:rsidR="00F244BA" w:rsidRDefault="00AC19E4">
            <w:pPr>
              <w:pStyle w:val="CellColumn"/>
              <w:jc w:val="left"/>
            </w:pPr>
            <w:r>
              <w:rPr>
                <w:rFonts w:cs="Times New Roman"/>
              </w:rPr>
              <w:t>Udio izvršenih isplata korisniku prije krajnjeg roka za plaćanje u ukupnom broju izvršenih isplata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57</w:t>
            </w:r>
          </w:p>
        </w:tc>
        <w:tc>
          <w:tcPr>
            <w:tcW w:w="1020" w:type="dxa"/>
          </w:tcPr>
          <w:p w:rsidR="00F244BA" w:rsidRDefault="00AC19E4">
            <w:pPr>
              <w:pStyle w:val="CellColumn"/>
              <w:jc w:val="right"/>
            </w:pPr>
            <w:r>
              <w:rPr>
                <w:rFonts w:cs="Times New Roman"/>
              </w:rPr>
              <w:t>Interna evidencija MMPI</w:t>
            </w:r>
          </w:p>
        </w:tc>
        <w:tc>
          <w:tcPr>
            <w:tcW w:w="1020" w:type="dxa"/>
          </w:tcPr>
          <w:p w:rsidR="00F244BA" w:rsidRDefault="00AC19E4">
            <w:pPr>
              <w:pStyle w:val="CellColumn"/>
              <w:jc w:val="right"/>
            </w:pPr>
            <w:r>
              <w:rPr>
                <w:rFonts w:cs="Times New Roman"/>
              </w:rPr>
              <w:t>57</w:t>
            </w:r>
          </w:p>
        </w:tc>
        <w:tc>
          <w:tcPr>
            <w:tcW w:w="1020" w:type="dxa"/>
          </w:tcPr>
          <w:p w:rsidR="00F244BA" w:rsidRDefault="00AC19E4">
            <w:pPr>
              <w:pStyle w:val="CellColumn"/>
              <w:jc w:val="right"/>
            </w:pPr>
            <w:r>
              <w:rPr>
                <w:rFonts w:cs="Times New Roman"/>
              </w:rPr>
              <w:t>54</w:t>
            </w:r>
          </w:p>
        </w:tc>
      </w:tr>
    </w:tbl>
    <w:p w:rsidR="00F244BA" w:rsidRDefault="00F244BA">
      <w:pPr>
        <w:jc w:val="left"/>
      </w:pPr>
    </w:p>
    <w:p w:rsidR="00F244BA" w:rsidRDefault="00AC19E4">
      <w:pPr>
        <w:pStyle w:val="Naslov3"/>
      </w:pPr>
      <w:r>
        <w:rPr>
          <w:rFonts w:cs="Times New Roman"/>
        </w:rPr>
        <w:lastRenderedPageBreak/>
        <w:t>3112 INSPEKCIJSKI NADZOR CESTOVNOG PROMETA, CESTA I ŽIČARA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3112-INSPEKCIJSKI NADZOR CESTOVNOG PROMETA, CESTA I ŽIČARA</w:t>
            </w:r>
          </w:p>
        </w:tc>
        <w:tc>
          <w:tcPr>
            <w:tcW w:w="2041" w:type="dxa"/>
          </w:tcPr>
          <w:p w:rsidR="00F244BA" w:rsidRDefault="00AC19E4">
            <w:pPr>
              <w:pStyle w:val="CellColumn"/>
              <w:jc w:val="right"/>
            </w:pPr>
            <w:r>
              <w:rPr>
                <w:rFonts w:cs="Times New Roman"/>
              </w:rPr>
              <w:t>1.319.790</w:t>
            </w:r>
          </w:p>
        </w:tc>
        <w:tc>
          <w:tcPr>
            <w:tcW w:w="2041" w:type="dxa"/>
          </w:tcPr>
          <w:p w:rsidR="00F244BA" w:rsidRDefault="00AC19E4">
            <w:pPr>
              <w:pStyle w:val="CellColumn"/>
              <w:jc w:val="right"/>
            </w:pPr>
            <w:r>
              <w:rPr>
                <w:rFonts w:cs="Times New Roman"/>
              </w:rPr>
              <w:t>1.580.067</w:t>
            </w:r>
          </w:p>
        </w:tc>
        <w:tc>
          <w:tcPr>
            <w:tcW w:w="2041" w:type="dxa"/>
          </w:tcPr>
          <w:p w:rsidR="00F244BA" w:rsidRDefault="00AC19E4">
            <w:pPr>
              <w:pStyle w:val="CellColumn"/>
              <w:jc w:val="right"/>
            </w:pPr>
            <w:r>
              <w:rPr>
                <w:rFonts w:cs="Times New Roman"/>
              </w:rPr>
              <w:t>595.318</w:t>
            </w:r>
          </w:p>
        </w:tc>
        <w:tc>
          <w:tcPr>
            <w:tcW w:w="1224" w:type="dxa"/>
          </w:tcPr>
          <w:p w:rsidR="00F244BA" w:rsidRDefault="00AC19E4">
            <w:pPr>
              <w:pStyle w:val="CellColumn"/>
              <w:jc w:val="right"/>
            </w:pPr>
            <w:r>
              <w:rPr>
                <w:rFonts w:cs="Times New Roman"/>
              </w:rPr>
              <w:t>37,7</w:t>
            </w:r>
          </w:p>
        </w:tc>
        <w:tc>
          <w:tcPr>
            <w:tcW w:w="1224" w:type="dxa"/>
          </w:tcPr>
          <w:p w:rsidR="00F244BA" w:rsidRDefault="00AC19E4">
            <w:pPr>
              <w:pStyle w:val="CellColumn"/>
              <w:jc w:val="right"/>
            </w:pPr>
            <w:r>
              <w:rPr>
                <w:rFonts w:cs="Times New Roman"/>
              </w:rPr>
              <w:t>45,1</w:t>
            </w:r>
          </w:p>
        </w:tc>
      </w:tr>
    </w:tbl>
    <w:p w:rsidR="00F244BA" w:rsidRDefault="00F244BA">
      <w:pPr>
        <w:jc w:val="left"/>
      </w:pPr>
    </w:p>
    <w:p w:rsidR="00F244BA" w:rsidRDefault="00AC19E4">
      <w:pPr>
        <w:pStyle w:val="Naslov8"/>
        <w:jc w:val="left"/>
      </w:pPr>
      <w:r>
        <w:t>Cilj 1. Unaprjeđenje kvalitete inspekcijskog nadzora cestovnog prometa, cesta i žičara</w:t>
      </w:r>
    </w:p>
    <w:p w:rsidR="00F244BA" w:rsidRDefault="00AC19E4">
      <w:pPr>
        <w:pStyle w:val="Naslov8"/>
        <w:jc w:val="left"/>
      </w:pPr>
      <w:r>
        <w:t>Opis provedbe cilja programa</w:t>
      </w:r>
    </w:p>
    <w:p w:rsidR="00F244BA" w:rsidRDefault="00AC19E4">
      <w:r>
        <w:t xml:space="preserve">Razina sigurnosti, pouzdanosti i zaštite u prometu bitno ovisi o kvalitetnom nadzoru sustava cestovnog prometa, cestovne infrastrukture i žičara za prijevoz osoba. Svrsishodno provođenje preventivnih i represivnih mjera uvelike ovisi o razini opremljenosti inspektora cestovnog prometa i cesta te se opremanjem i modernizacijom uređaja, opremom i aplikacijama za potrebe nadzora, uspostavljaju osnovni preduvjeti ostvarivanje godišnjeg plana rada kao i izvršavanje dužnosti u skladu s Uredbom (EU) br. 165/2014 Europskog Parlamenta i Vijeća i Direktivom 2006/22/EZ Europskog Parlamenta i Vijeća.  </w:t>
      </w:r>
    </w:p>
    <w:p w:rsidR="00F244BA" w:rsidRDefault="00AC19E4">
      <w:r>
        <w:t>U 2024. godini se pristupilo nabavi uređaja i opreme koja je neophodna za učinkovito provođenje inspekcijskih nadzora kao što su: informatička oprema za provedbu inspekcijskih nadzora, VDO čitač tahografskih uređaja i kartica vozača, baždarenje mobilnih vaga za mjerenje mase i osovinskog opterećenja vozila i službena vozila. Službenici za kontrolu neprestano su izloženi novim izazovima koji zahtijevaju kontinuiranu edukaciju te je provedena stručna edukacija djelatnika. Podizanje razine opremljenosti uređajima i opremom nužna je kako bi se osigurale učinkovitije provjere te unaprijedilo usklađivanje provjera na razini EU.</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468"/>
        <w:gridCol w:w="2485"/>
        <w:gridCol w:w="1007"/>
        <w:gridCol w:w="1014"/>
        <w:gridCol w:w="1203"/>
        <w:gridCol w:w="1014"/>
        <w:gridCol w:w="1015"/>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ostvarenih mobilnih tehničkih pregleda od ukupno planiranih mobilnih tehničkih pregleda</w:t>
            </w:r>
          </w:p>
        </w:tc>
        <w:tc>
          <w:tcPr>
            <w:tcW w:w="2551" w:type="dxa"/>
          </w:tcPr>
          <w:p w:rsidR="00F244BA" w:rsidRDefault="00AC19E4">
            <w:pPr>
              <w:pStyle w:val="CellColumn"/>
              <w:jc w:val="left"/>
            </w:pPr>
            <w:r>
              <w:rPr>
                <w:rFonts w:cs="Times New Roman"/>
              </w:rPr>
              <w:t>Kontinuiranim provođenjem inspekcijskog nadzora teretnih vozila i autobusa znatno će se unaprijediti razina tehničke ispravnosti, a time doprinijeti zdravlju i sigurnosti mobilnih radnika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73</w:t>
            </w:r>
          </w:p>
        </w:tc>
        <w:tc>
          <w:tcPr>
            <w:tcW w:w="1020" w:type="dxa"/>
          </w:tcPr>
          <w:p w:rsidR="00F244BA" w:rsidRDefault="00AC19E4">
            <w:pPr>
              <w:pStyle w:val="CellColumn"/>
              <w:jc w:val="right"/>
            </w:pPr>
            <w:r>
              <w:rPr>
                <w:rFonts w:cs="Times New Roman"/>
              </w:rPr>
              <w:t xml:space="preserve">Ministarstvo mora, prometa i infrastrukture  </w:t>
            </w:r>
          </w:p>
          <w:p w:rsidR="00F244BA" w:rsidRDefault="00AC19E4">
            <w:pPr>
              <w:pStyle w:val="CellColumn"/>
              <w:jc w:val="right"/>
            </w:pPr>
            <w:r>
              <w:rPr>
                <w:rFonts w:cs="Times New Roman"/>
              </w:rPr>
              <w:t>(Plan mobilnih tehničkih pregleda)</w:t>
            </w:r>
          </w:p>
        </w:tc>
        <w:tc>
          <w:tcPr>
            <w:tcW w:w="1020" w:type="dxa"/>
          </w:tcPr>
          <w:p w:rsidR="00F244BA" w:rsidRDefault="00AC19E4">
            <w:pPr>
              <w:pStyle w:val="CellColumn"/>
              <w:jc w:val="right"/>
            </w:pPr>
            <w:r>
              <w:rPr>
                <w:rFonts w:cs="Times New Roman"/>
              </w:rPr>
              <w:t>75</w:t>
            </w:r>
          </w:p>
        </w:tc>
        <w:tc>
          <w:tcPr>
            <w:tcW w:w="1020" w:type="dxa"/>
          </w:tcPr>
          <w:p w:rsidR="00F244BA" w:rsidRDefault="00AC19E4">
            <w:pPr>
              <w:pStyle w:val="CellColumn"/>
              <w:jc w:val="right"/>
            </w:pPr>
            <w:r>
              <w:rPr>
                <w:rFonts w:cs="Times New Roman"/>
              </w:rPr>
              <w:t>75</w:t>
            </w:r>
          </w:p>
        </w:tc>
      </w:tr>
    </w:tbl>
    <w:p w:rsidR="00F244BA" w:rsidRDefault="00F244BA">
      <w:pPr>
        <w:jc w:val="left"/>
      </w:pPr>
    </w:p>
    <w:p w:rsidR="00F244BA" w:rsidRDefault="00AC19E4">
      <w:pPr>
        <w:pStyle w:val="Naslov4"/>
      </w:pPr>
      <w:r>
        <w:t>K761028 RAZVOJ I UNAPRJEĐENJE SUSTAVA SIGURNOSTI I INSPEKCIJE CESTOVNOG PROMETA I CESTA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K761028-RAZVOJ I UNAPRJEĐENJE SUSTAVA SIGURNOSTI I INSPEKCIJE CESTOVNOG PROMETA I CESTA</w:t>
            </w:r>
          </w:p>
        </w:tc>
        <w:tc>
          <w:tcPr>
            <w:tcW w:w="2041" w:type="dxa"/>
          </w:tcPr>
          <w:p w:rsidR="00F244BA" w:rsidRDefault="00AC19E4">
            <w:pPr>
              <w:pStyle w:val="CellColumn"/>
              <w:jc w:val="right"/>
            </w:pPr>
            <w:r>
              <w:rPr>
                <w:rFonts w:cs="Times New Roman"/>
              </w:rPr>
              <w:t>1.319.790</w:t>
            </w:r>
          </w:p>
        </w:tc>
        <w:tc>
          <w:tcPr>
            <w:tcW w:w="2041" w:type="dxa"/>
          </w:tcPr>
          <w:p w:rsidR="00F244BA" w:rsidRDefault="00AC19E4">
            <w:pPr>
              <w:pStyle w:val="CellColumn"/>
              <w:jc w:val="right"/>
            </w:pPr>
            <w:r>
              <w:rPr>
                <w:rFonts w:cs="Times New Roman"/>
              </w:rPr>
              <w:t>1.580.067</w:t>
            </w:r>
          </w:p>
        </w:tc>
        <w:tc>
          <w:tcPr>
            <w:tcW w:w="2041" w:type="dxa"/>
          </w:tcPr>
          <w:p w:rsidR="00F244BA" w:rsidRDefault="00AC19E4">
            <w:pPr>
              <w:pStyle w:val="CellColumn"/>
              <w:jc w:val="right"/>
            </w:pPr>
            <w:r>
              <w:rPr>
                <w:rFonts w:cs="Times New Roman"/>
              </w:rPr>
              <w:t>595.318</w:t>
            </w:r>
          </w:p>
        </w:tc>
        <w:tc>
          <w:tcPr>
            <w:tcW w:w="1224" w:type="dxa"/>
          </w:tcPr>
          <w:p w:rsidR="00F244BA" w:rsidRDefault="00AC19E4">
            <w:pPr>
              <w:pStyle w:val="CellColumn"/>
              <w:jc w:val="right"/>
            </w:pPr>
            <w:r>
              <w:rPr>
                <w:rFonts w:cs="Times New Roman"/>
              </w:rPr>
              <w:t>37,7</w:t>
            </w:r>
          </w:p>
        </w:tc>
        <w:tc>
          <w:tcPr>
            <w:tcW w:w="1224" w:type="dxa"/>
          </w:tcPr>
          <w:p w:rsidR="00F244BA" w:rsidRDefault="00AC19E4">
            <w:pPr>
              <w:pStyle w:val="CellColumn"/>
              <w:jc w:val="right"/>
            </w:pPr>
            <w:r>
              <w:rPr>
                <w:rFonts w:cs="Times New Roman"/>
              </w:rPr>
              <w:t>45,1</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prijevozu u cestovnom prometu, članci 2. i 109.   </w:t>
      </w:r>
    </w:p>
    <w:p w:rsidR="00F244BA" w:rsidRDefault="00AC19E4">
      <w:r>
        <w:t xml:space="preserve">- Zakon o sigurnosti prometa na cestama, članak 1.a; članak 4., članak 153., stavak 3.; članak 154., stavak 5.; članak 236. i članak 259., stavak 1.   </w:t>
      </w:r>
    </w:p>
    <w:p w:rsidR="00F244BA" w:rsidRDefault="00AC19E4">
      <w:r>
        <w:t xml:space="preserve"> - Zakon o radnom vremenu, obveznim odmorima mobilnih radnika i uređajima za bilježenje u cestovnom prometu, članci 2., 31. i 32.; članak 33., stavci 5., 6., i 7.; članak 34., stavak 5. i članak 6.   </w:t>
      </w:r>
    </w:p>
    <w:p w:rsidR="00F244BA" w:rsidRDefault="00AC19E4">
      <w:r>
        <w:t xml:space="preserve">- Zakon o cestama, članci 1.a i 111.   </w:t>
      </w:r>
    </w:p>
    <w:p w:rsidR="00F244BA" w:rsidRDefault="00AC19E4">
      <w:r>
        <w:t xml:space="preserve">- Zakon o inspekciji cestovnog prometa i cesta, članci 11., 12., 34. i 37.   </w:t>
      </w:r>
    </w:p>
    <w:p w:rsidR="00F244BA" w:rsidRDefault="00AC19E4">
      <w:r>
        <w:t xml:space="preserve">- Zakon o prijevozu opasnih tvari, članci 3., 38. i 43.   </w:t>
      </w:r>
    </w:p>
    <w:p w:rsidR="00F244BA" w:rsidRDefault="00AC19E4">
      <w:r>
        <w:t xml:space="preserve">- ADR – Europski sporazum o međunarodnom cestovnom prijevozu opasnih tvari   </w:t>
      </w:r>
    </w:p>
    <w:p w:rsidR="00F244BA" w:rsidRDefault="00AC19E4">
      <w:r>
        <w:t xml:space="preserve">- Zakon o žičarama, članci 2., 26. i 27.    </w:t>
      </w:r>
    </w:p>
    <w:p w:rsidR="00F244BA" w:rsidRDefault="00AC19E4">
      <w:r>
        <w:t xml:space="preserve">- Pravilnik o obrascu iskaznice, obliku značke, opremi i službenoj odjeći inspektora cestovnog prometa i inspektora cesta, članci 17. i 18.   </w:t>
      </w:r>
    </w:p>
    <w:p w:rsidR="00F244BA" w:rsidRDefault="00AC19E4">
      <w:r>
        <w:t>- Pravilnik o označavanju službenih vozila inspekcije cestovnog prometa i cesta, članci 4., 5., 7. i 8.</w:t>
      </w:r>
    </w:p>
    <w:p w:rsidR="00F244BA" w:rsidRDefault="00AC19E4">
      <w:pPr>
        <w:pStyle w:val="Naslov8"/>
        <w:jc w:val="left"/>
      </w:pPr>
      <w:r>
        <w:t>Opis aktivnosti</w:t>
      </w:r>
    </w:p>
    <w:p w:rsidR="00F244BA" w:rsidRDefault="00AC19E4">
      <w:r>
        <w:t xml:space="preserve">U skladu s Uredbom (EU) br. 165/2014 Europskog Parlamenta i Vijeća i Direktivom 2006/22/EZ Europskog Parlamenta i Vijeća, a za potrebe inspekcijskih nadzora, potrebno je kontinuirano ulagati u opremanje i modernizaciju specijalnih uređaja, opreme i IT aplikacije. Također, sve države članice EU moraju se pobrinuti da su službenici za kontrolu na odgovarajući način osposobljeni za analizu zabilježenih podataka i provjeru tahografa kako bi se uspostavile učinkovite i usklađene aktivnosti inspekcijskih nadzora. Direktivom 2006/22/EZ Europskog parlamenta i Vijeća od država članica zahtijeva se provedba minimalnog broja provjera na cesti te provjera u tvrtkama. Europska Komisija je naznačila potrebu jačanja provjera i sankcija naročito za socijalno zakonodavstvo u poslovima cestovnog prijevoza i posebno na povečanju broja provjera radi poticanja sistematske razmjene podataka između država članica i radi usklađivanja poslova nadzora i poticanja osposobljavanja službenika odgovornih za provođenje zakona. U tu svrhu opremanje se provodi za nabavku opreme i uređaja, zaštitne i radne obuće i odjeće, informatičke opreme te informatičkih sustava neophodnih za rad Inspekcije. Također, bitno je istaknuti da se kroz Sporazum između MUP-a i MMPI-a, kroz Nacionalni plan sigurnosti cestovnog prometa, doznačuju sredstva s ciljem financiranja nabavke vozila, uređaja i opreme te nadogradnje i održavanja informatičkih sustava »CRIS«. </w:t>
      </w:r>
    </w:p>
    <w:p w:rsidR="00F244BA" w:rsidRDefault="00AC19E4">
      <w:r>
        <w:t>Izvršenje financijskog plana odstupalo je od plana iz razloga što ispuraka vozila sukladno provedenoj javnoj nabavi nije mogla biti izvršena tijekom 2024. godine jer je prema Ugovoru isporuka planirana u travnju 2025. godine. Također, planirana sredstva za nabavu službene, radne i zaštitne odjeće nisu utrošena jer nije donesen »Pravilnik o obrascu iskaznice, obliku značke, opremi i službenoj odjeći inspektora cestovnog prometa i cesta« na temelju kojeg se nabavlja predmetna oprema. Isto tako, tijekom 2024. godine provedena je javna nabava za nabavu DSRC antene i potpisan Ugovor za održavanje sustava CRIS, a sredstva planirana za ove namjene realizirat će se tijekom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Stupanj opremljenosti inspekcije adekvatnom opremom</w:t>
            </w:r>
          </w:p>
        </w:tc>
        <w:tc>
          <w:tcPr>
            <w:tcW w:w="2551" w:type="dxa"/>
          </w:tcPr>
          <w:p w:rsidR="00F244BA" w:rsidRDefault="00AC19E4">
            <w:pPr>
              <w:pStyle w:val="CellColumn"/>
              <w:jc w:val="left"/>
            </w:pPr>
            <w:r>
              <w:rPr>
                <w:rFonts w:cs="Times New Roman"/>
              </w:rPr>
              <w:t>Nabava i nadogradnja adekvatne opreme te jačanje administrativnih kapaciteta omogućiti će ostvarenje godišnjeg plana ukupnog broja inspekcijskih pregleda radnih dana vozača u cestovnom prijevozu tereta i putnika, te nadzora cesta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94</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95</w:t>
            </w:r>
          </w:p>
        </w:tc>
        <w:tc>
          <w:tcPr>
            <w:tcW w:w="1020" w:type="dxa"/>
          </w:tcPr>
          <w:p w:rsidR="00F244BA" w:rsidRDefault="00AC19E4">
            <w:pPr>
              <w:pStyle w:val="CellColumn"/>
              <w:jc w:val="right"/>
            </w:pPr>
            <w:r>
              <w:rPr>
                <w:rFonts w:cs="Times New Roman"/>
              </w:rPr>
              <w:t>95</w:t>
            </w:r>
          </w:p>
        </w:tc>
      </w:tr>
    </w:tbl>
    <w:p w:rsidR="00F244BA" w:rsidRDefault="00F244BA">
      <w:pPr>
        <w:jc w:val="left"/>
      </w:pPr>
    </w:p>
    <w:p w:rsidR="00F244BA" w:rsidRDefault="00AC19E4">
      <w:pPr>
        <w:pStyle w:val="Naslov3"/>
      </w:pPr>
      <w:r>
        <w:rPr>
          <w:rFonts w:cs="Times New Roman"/>
        </w:rPr>
        <w:t>3113 RAZVOJ SUSTAVA ZRAČNOG PROMETA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3113-RAZVOJ SUSTAVA ZRAČNOG PROMETA</w:t>
            </w:r>
          </w:p>
        </w:tc>
        <w:tc>
          <w:tcPr>
            <w:tcW w:w="2041" w:type="dxa"/>
          </w:tcPr>
          <w:p w:rsidR="00F244BA" w:rsidRDefault="00AC19E4">
            <w:pPr>
              <w:pStyle w:val="CellColumn"/>
              <w:jc w:val="right"/>
            </w:pPr>
            <w:r>
              <w:rPr>
                <w:rFonts w:cs="Times New Roman"/>
              </w:rPr>
              <w:t>26.922.367</w:t>
            </w:r>
          </w:p>
        </w:tc>
        <w:tc>
          <w:tcPr>
            <w:tcW w:w="2041" w:type="dxa"/>
          </w:tcPr>
          <w:p w:rsidR="00F244BA" w:rsidRDefault="00AC19E4">
            <w:pPr>
              <w:pStyle w:val="CellColumn"/>
              <w:jc w:val="right"/>
            </w:pPr>
            <w:r>
              <w:rPr>
                <w:rFonts w:cs="Times New Roman"/>
              </w:rPr>
              <w:t>28.711.856</w:t>
            </w:r>
          </w:p>
        </w:tc>
        <w:tc>
          <w:tcPr>
            <w:tcW w:w="2041" w:type="dxa"/>
          </w:tcPr>
          <w:p w:rsidR="00F244BA" w:rsidRDefault="00AC19E4">
            <w:pPr>
              <w:pStyle w:val="CellColumn"/>
              <w:jc w:val="right"/>
            </w:pPr>
            <w:r>
              <w:rPr>
                <w:rFonts w:cs="Times New Roman"/>
              </w:rPr>
              <w:t>26.629.115</w:t>
            </w:r>
          </w:p>
        </w:tc>
        <w:tc>
          <w:tcPr>
            <w:tcW w:w="1224" w:type="dxa"/>
          </w:tcPr>
          <w:p w:rsidR="00F244BA" w:rsidRDefault="00AC19E4">
            <w:pPr>
              <w:pStyle w:val="CellColumn"/>
              <w:jc w:val="right"/>
            </w:pPr>
            <w:r>
              <w:rPr>
                <w:rFonts w:cs="Times New Roman"/>
              </w:rPr>
              <w:t>92,7</w:t>
            </w:r>
          </w:p>
        </w:tc>
        <w:tc>
          <w:tcPr>
            <w:tcW w:w="1224" w:type="dxa"/>
          </w:tcPr>
          <w:p w:rsidR="00F244BA" w:rsidRDefault="00AC19E4">
            <w:pPr>
              <w:pStyle w:val="CellColumn"/>
              <w:jc w:val="right"/>
            </w:pPr>
            <w:r>
              <w:rPr>
                <w:rFonts w:cs="Times New Roman"/>
              </w:rPr>
              <w:t>98,9</w:t>
            </w:r>
          </w:p>
        </w:tc>
      </w:tr>
    </w:tbl>
    <w:p w:rsidR="00F244BA" w:rsidRDefault="00F244BA">
      <w:pPr>
        <w:jc w:val="left"/>
      </w:pPr>
    </w:p>
    <w:p w:rsidR="00F244BA" w:rsidRDefault="00AC19E4">
      <w:pPr>
        <w:pStyle w:val="Naslov8"/>
        <w:jc w:val="left"/>
      </w:pPr>
      <w:r>
        <w:t>Cilj 1. Razvijen sustav zračnog prometa</w:t>
      </w:r>
    </w:p>
    <w:p w:rsidR="00F244BA" w:rsidRDefault="00AC19E4">
      <w:pPr>
        <w:pStyle w:val="Naslov8"/>
        <w:jc w:val="left"/>
      </w:pPr>
      <w:r>
        <w:t>Opis provedbe cilja programa</w:t>
      </w:r>
    </w:p>
    <w:p w:rsidR="00F244BA" w:rsidRDefault="00AC19E4">
      <w:r>
        <w:t xml:space="preserve">Cilj ovog programa je podizanje razine sigurnosti i zaštite civilnog zračnog prometa, prometne infrastrukture i prometne usluge. Kroz ovaj program u 2024. godini sudjelovalo se u zatvaranju nalaza koje je Hrvatska agencija za civilno zrakoplovstvo (HACZ) utvrdila aerodromima provođenjem korektivnih mjera, koje se odnose na stanje sigurnosti na aerodromima.  </w:t>
      </w:r>
    </w:p>
    <w:p w:rsidR="00F244BA" w:rsidRDefault="00AC19E4">
      <w:r>
        <w:t xml:space="preserve">Utrošenim proračunskim sredstvima s ovog programa, u 2024. godini podržano je 12 mjera (zahtjeva) aerodroma kojima se utjecalo na poboljšanje aerodromske infrastrukture i povećanje sigurnosti i zaštite aerodroma u Republici Hrvatskoj te je zatvoreno 9 nalaza tj. nesukladnosti koje je HACZ utvrdila aerodromima.   </w:t>
      </w:r>
    </w:p>
    <w:p w:rsidR="00F244BA" w:rsidRDefault="00AC19E4">
      <w:r>
        <w:t xml:space="preserve">Sredstvima s ovog programa izvršeno je plaćanje nadoknade troškova zračnim prijevoznicima (Croatia Airlines d.d. i Trade Air d.o.o.) za održavanje redovitih domaćih zračnih linija tijekom 2024. godine te su financirani troškovi za održavanje otvorenosti Zračne luke Osijek d.o.o. za civilni zračni promet. Osim toga, proračunskim sredstvima s ovoga programa u 2024. godini izvršena je nadoknada troškova Hrvatskoj kontroli zračne plovidbe d.o.o. za usluge koje je ista pružala letovima koji su izuzeti od plaćanja rutnih i terminalnih naknada (vojni letovi, potraga i spašavanje, policijski letovi, humanitarni letovi, određena osposobljavanja i dr.), a koji su nastali u 2023. godini.  </w:t>
      </w:r>
    </w:p>
    <w:p w:rsidR="00F244BA" w:rsidRDefault="00AC19E4">
      <w:r>
        <w:t>U odnosu na ciljane vrijednosti ovog programa u 2024. godini, ostvaren je broj od 9 podržanih (zatvorenih) nalaza utvrđenih aerodromima od strane HACZ-a, što je u skladu s ciljanom vrijednosti.</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477"/>
        <w:gridCol w:w="2477"/>
        <w:gridCol w:w="1006"/>
        <w:gridCol w:w="1014"/>
        <w:gridCol w:w="1203"/>
        <w:gridCol w:w="1014"/>
        <w:gridCol w:w="1015"/>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Broj podržanih (zatvorenih) nalaza utvrđenih aerodromima od strane Hrvatske agencije za civilno zrakoplovstvo (HACZ)</w:t>
            </w:r>
          </w:p>
        </w:tc>
        <w:tc>
          <w:tcPr>
            <w:tcW w:w="2551" w:type="dxa"/>
          </w:tcPr>
          <w:p w:rsidR="00F244BA" w:rsidRDefault="00AC19E4">
            <w:pPr>
              <w:pStyle w:val="CellColumn"/>
              <w:jc w:val="left"/>
            </w:pPr>
            <w:r>
              <w:rPr>
                <w:rFonts w:cs="Times New Roman"/>
              </w:rPr>
              <w:t xml:space="preserve">Povećanjem broja podržanih (zatvorenih) nalaza utvrđenih aerodromima od strane Hrvatske agencije za civilno zrakoplovstvo (HACZ), povećava se razina sigurnosti i zaštite civilnog zračnog prometa, prometne infrastrukture i prometne usluge.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8</w:t>
            </w:r>
          </w:p>
        </w:tc>
        <w:tc>
          <w:tcPr>
            <w:tcW w:w="1020" w:type="dxa"/>
          </w:tcPr>
          <w:p w:rsidR="00F244BA" w:rsidRDefault="00AC19E4">
            <w:pPr>
              <w:pStyle w:val="CellColumn"/>
              <w:jc w:val="right"/>
            </w:pPr>
            <w:r>
              <w:rPr>
                <w:rFonts w:cs="Times New Roman"/>
              </w:rPr>
              <w:t xml:space="preserve">HACZ  </w:t>
            </w:r>
          </w:p>
          <w:p w:rsidR="00F244BA" w:rsidRDefault="00AC19E4">
            <w:pPr>
              <w:pStyle w:val="CellColumn"/>
              <w:jc w:val="right"/>
            </w:pPr>
            <w:r>
              <w:rPr>
                <w:rFonts w:cs="Times New Roman"/>
              </w:rPr>
              <w:t>Ministarstvo mora, prometa i infrastrukture</w:t>
            </w:r>
          </w:p>
        </w:tc>
        <w:tc>
          <w:tcPr>
            <w:tcW w:w="1020" w:type="dxa"/>
          </w:tcPr>
          <w:p w:rsidR="00F244BA" w:rsidRDefault="00AC19E4">
            <w:pPr>
              <w:pStyle w:val="CellColumn"/>
              <w:jc w:val="right"/>
            </w:pPr>
            <w:r>
              <w:rPr>
                <w:rFonts w:cs="Times New Roman"/>
              </w:rPr>
              <w:t>9</w:t>
            </w:r>
          </w:p>
        </w:tc>
        <w:tc>
          <w:tcPr>
            <w:tcW w:w="1020" w:type="dxa"/>
          </w:tcPr>
          <w:p w:rsidR="00F244BA" w:rsidRDefault="00AC19E4">
            <w:pPr>
              <w:pStyle w:val="CellColumn"/>
              <w:jc w:val="right"/>
            </w:pPr>
            <w:r>
              <w:rPr>
                <w:rFonts w:cs="Times New Roman"/>
              </w:rPr>
              <w:t>9</w:t>
            </w:r>
          </w:p>
        </w:tc>
      </w:tr>
    </w:tbl>
    <w:p w:rsidR="00F244BA" w:rsidRDefault="00F244BA">
      <w:pPr>
        <w:jc w:val="left"/>
      </w:pPr>
    </w:p>
    <w:p w:rsidR="00F244BA" w:rsidRDefault="00AC19E4">
      <w:pPr>
        <w:pStyle w:val="Naslov4"/>
      </w:pPr>
      <w:r>
        <w:t>A570001 SURADNJA S MEĐUNARODNIM ORGANIZACIJAMA TE PROVEDBA MJERA RAZVITKA ZRAČNOG PROMETA</w:t>
      </w:r>
    </w:p>
    <w:tbl>
      <w:tblPr>
        <w:tblStyle w:val="StilTablice"/>
        <w:tblW w:w="10206" w:type="dxa"/>
        <w:jc w:val="center"/>
        <w:tblLook w:val="04A0" w:firstRow="1" w:lastRow="0" w:firstColumn="1" w:lastColumn="0" w:noHBand="0" w:noVBand="1"/>
      </w:tblPr>
      <w:tblGrid>
        <w:gridCol w:w="1903"/>
        <w:gridCol w:w="1960"/>
        <w:gridCol w:w="1964"/>
        <w:gridCol w:w="1960"/>
        <w:gridCol w:w="1206"/>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A570001-SURADNJA S MEĐUNARODNIM ORGANIZACIJAMA TE PROVEDBA MJERA RAZVITKA ZRAČNOG PROMETA</w:t>
            </w:r>
          </w:p>
        </w:tc>
        <w:tc>
          <w:tcPr>
            <w:tcW w:w="2041" w:type="dxa"/>
          </w:tcPr>
          <w:p w:rsidR="00F244BA" w:rsidRDefault="00AC19E4">
            <w:pPr>
              <w:pStyle w:val="CellColumn"/>
              <w:jc w:val="right"/>
            </w:pPr>
            <w:r>
              <w:rPr>
                <w:rFonts w:cs="Times New Roman"/>
              </w:rPr>
              <w:t>86.964</w:t>
            </w:r>
          </w:p>
        </w:tc>
        <w:tc>
          <w:tcPr>
            <w:tcW w:w="2041" w:type="dxa"/>
          </w:tcPr>
          <w:p w:rsidR="00F244BA" w:rsidRDefault="00AC19E4">
            <w:pPr>
              <w:pStyle w:val="CellColumn"/>
              <w:jc w:val="right"/>
            </w:pPr>
            <w:r>
              <w:rPr>
                <w:rFonts w:cs="Times New Roman"/>
              </w:rPr>
              <w:t>1.128.600</w:t>
            </w:r>
          </w:p>
        </w:tc>
        <w:tc>
          <w:tcPr>
            <w:tcW w:w="2041" w:type="dxa"/>
          </w:tcPr>
          <w:p w:rsidR="00F244BA" w:rsidRDefault="00AC19E4">
            <w:pPr>
              <w:pStyle w:val="CellColumn"/>
              <w:jc w:val="right"/>
            </w:pPr>
            <w:r>
              <w:rPr>
                <w:rFonts w:cs="Times New Roman"/>
              </w:rPr>
              <w:t>996.762</w:t>
            </w:r>
          </w:p>
        </w:tc>
        <w:tc>
          <w:tcPr>
            <w:tcW w:w="1224" w:type="dxa"/>
          </w:tcPr>
          <w:p w:rsidR="00F244BA" w:rsidRDefault="00AC19E4">
            <w:pPr>
              <w:pStyle w:val="CellColumn"/>
              <w:jc w:val="right"/>
            </w:pPr>
            <w:r>
              <w:rPr>
                <w:rFonts w:cs="Times New Roman"/>
              </w:rPr>
              <w:t>88,3</w:t>
            </w:r>
          </w:p>
        </w:tc>
        <w:tc>
          <w:tcPr>
            <w:tcW w:w="1224" w:type="dxa"/>
          </w:tcPr>
          <w:p w:rsidR="00F244BA" w:rsidRDefault="00AC19E4">
            <w:pPr>
              <w:pStyle w:val="CellColumn"/>
              <w:jc w:val="right"/>
            </w:pPr>
            <w:r>
              <w:rPr>
                <w:rFonts w:cs="Times New Roman"/>
              </w:rPr>
              <w:t>1146,2</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zračnom prometu, članak 37, 58, 95, 114   </w:t>
      </w:r>
    </w:p>
    <w:p w:rsidR="00F244BA" w:rsidRDefault="00AC19E4">
      <w:r>
        <w:t xml:space="preserve">- Odluka o osnivanju Nacionalnog povjerenstva za upravljanje zračnim prostorom  </w:t>
      </w:r>
    </w:p>
    <w:p w:rsidR="00F244BA" w:rsidRDefault="00AC19E4">
      <w:r>
        <w:t xml:space="preserve">- Odluka o osnivanju Nacionalnog povjerenstva za olakšice   </w:t>
      </w:r>
    </w:p>
    <w:p w:rsidR="00F244BA" w:rsidRDefault="00AC19E4">
      <w:r>
        <w:t xml:space="preserve">- Odluka o osnivanju Povjerenstva za upravljanje sigurnošću u zračnom prometu   </w:t>
      </w:r>
    </w:p>
    <w:p w:rsidR="00F244BA" w:rsidRDefault="00AC19E4">
      <w:r>
        <w:t xml:space="preserve">- Odluka o osnivanju Nacionalnog povjerenstva za zaštitu civilnog zračnog prometa   </w:t>
      </w:r>
    </w:p>
    <w:p w:rsidR="00F244BA" w:rsidRDefault="00AC19E4">
      <w:r>
        <w:t xml:space="preserve">- Odluka o dodjeli sredstava za unaprjeđenje zračne prometne povezanosti Grada Mostara  </w:t>
      </w:r>
    </w:p>
    <w:p w:rsidR="00F244BA" w:rsidRDefault="00AC19E4">
      <w:r>
        <w:t xml:space="preserve">- Čikaška konvencija (Convention on International Civil Aviation), potpisana u Chicagu 1944. godine te Protokol o važnim dopunama te konvencije potpisan u Montrealu iz 1980. godine - članarina Međunarodnoj organizaciji civilnog zrakoplovstva  ICAO (International Civil Aviation Organization)   </w:t>
      </w:r>
    </w:p>
    <w:p w:rsidR="00F244BA" w:rsidRDefault="00AC19E4">
      <w:r>
        <w:t xml:space="preserve">- Rezolucija o administrativnim i financijskim odnosima između ICAO i ECAC usvojena na 14. ECAC trijenalu kao i članak 14(2) Statuta ECAC-a - članarina Europskoj konferenciju civilnog zrakoplovstva ECAC (European Civil Aviation Conference)   </w:t>
      </w:r>
    </w:p>
    <w:p w:rsidR="00F244BA" w:rsidRDefault="00AC19E4">
      <w:r>
        <w:t>- Memorandum o sporazumijevanju od 22. ožujka 2016. potpisan u Utrechtu kojim je Republika Hrvatska postala osma članica ABIS grupe</w:t>
      </w:r>
    </w:p>
    <w:p w:rsidR="00F244BA" w:rsidRDefault="00AC19E4">
      <w:pPr>
        <w:pStyle w:val="Naslov8"/>
        <w:jc w:val="left"/>
      </w:pPr>
      <w:r>
        <w:t>Opis aktivnosti</w:t>
      </w:r>
    </w:p>
    <w:p w:rsidR="00F244BA" w:rsidRDefault="00AC19E4">
      <w:r>
        <w:t xml:space="preserve">Proračunskim sredstvima s ove aktivnosti u 2024. godini izvršeno je plaćanje  obveza za članarine u međunarodnim organizacijama civilnog zrakoplovstva za 2024. godinu (ICAO, ECAC I ABIS GROUP). Godišnja ICAO članarina isplaćena je u iznosu od 40.781 CAD i 21.959 USD, godišnja ECAC članarina isplaćena je u iznosu od 34.884 € te godišnja ABIS GROUP članarina u iznosu od 4.496 CAD (sveukupno izvršeno plaćanje za članarine iznosi 86.188 €).  </w:t>
      </w:r>
    </w:p>
    <w:p w:rsidR="00F244BA" w:rsidRDefault="00AC19E4">
      <w:r>
        <w:lastRenderedPageBreak/>
        <w:t xml:space="preserve">Sredstvima s ove aktivnosti plaćaju se i naknade članovima za rad u 4 (četiri) povjerenstva, koja su osnovana odlukama Vlade Republike Hrvatske, a na temelju odredaba Zakona o zračnom prometu te su u 2024. godini navedene naknade isplaćene u iznosu od 887,53 €.  </w:t>
      </w:r>
    </w:p>
    <w:p w:rsidR="00F244BA" w:rsidRDefault="00AC19E4">
      <w:r>
        <w:t xml:space="preserve">U 2024. godini izvršeno je plaćanje Fakultetu prometnih znanosti za provedbu projekta razvoja zrakoplovstva na Aerodromu Lučko u iznosu od 9.686,39 €. Projekt provodi ovo Ministarstvo u suradnji s Fakultetom prometnih znanosti i Ministarstvom obrane. </w:t>
      </w:r>
    </w:p>
    <w:p w:rsidR="00F244BA" w:rsidRDefault="00AC19E4">
      <w:r>
        <w:t xml:space="preserve">Sukladno Odluci o dodjeli sredstava za unaprjeđenje zračne prometne povezanosti Grada Mostara, koju je Vlada Republike Hrvatske donijela 14. ožujka 2024. godine i Ugovora broj: 09/SZP/2024 o sudjelovanju u financiranju programa na unapređenju zračne prometne povezanosti Grada Mostara od 2. studenog 2024. godine, sklopljenog između Ministarstva mora, prometa i infrastrukture i Grada Mostara, za unaprjeđenje zračne prometne povezanosti grada Mostara sa svim regijama Republike Hrvatske kao i ključnim prometnim čvorištima Europske unije, odnosno za postojeće kao i razvoj novih programa zračne povezanosti Grada Mostara, koji su se provodili u 2024. godini, isplaćena su sredstva Gradu Mostaru u ukupnom iznosu od 900.000 €. </w:t>
      </w:r>
    </w:p>
    <w:p w:rsidR="00F244BA" w:rsidRDefault="00AC19E4">
      <w:r>
        <w:t xml:space="preserve">Zrakoplovne vlasti Republike Hrvatske u 2024. godini sudjelovale su u radu upravljačkih i radnih tijela (ICAO – Međunarodna organizacija za civilno zrakoplovstvo, ECAC – Europska konferencija za civilno zrakoplovstvo, EASA – Europska agencija za sigurnost zračnog prometa, EUROCONTROL – Europska agencija za sigurnost zračne plovidbe) kao i stručnih odbora kao što je npr. Single European Sky Committee i radnih skupina Vijeća Europske unije, te na taj način pratile razvoj ključnih svjetskih i europskih projekata i strategija kao i razvoj zakonodavnog okvira u području zračnog prometa.   </w:t>
      </w:r>
    </w:p>
    <w:p w:rsidR="00F244BA" w:rsidRDefault="00AC19E4">
      <w:r>
        <w:t>Planirani ciljevi ove aktivnosti u 2024. godini su postignuti, aktivnost se provodila planiranom dinamikom i nije bilo problema u njenom izvršavanju.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sastanaka upravljačkih i radnih tijela međunarodnih organizacija nadležnih za civilno zrakoplovstvo (ICAO, ECAC, EASA, EUROCONTROL) te stručnih odbora na kojima su sudjelovali predstavnici MMPI</w:t>
            </w:r>
          </w:p>
        </w:tc>
        <w:tc>
          <w:tcPr>
            <w:tcW w:w="2551" w:type="dxa"/>
          </w:tcPr>
          <w:p w:rsidR="00F244BA" w:rsidRDefault="00AC19E4">
            <w:pPr>
              <w:pStyle w:val="CellColumn"/>
              <w:jc w:val="left"/>
            </w:pPr>
            <w:r>
              <w:rPr>
                <w:rFonts w:cs="Times New Roman"/>
              </w:rPr>
              <w:t xml:space="preserve">Povećanjem broja sastanaka upravljačkih i radnih tijela međunarodnih organizacija nadležnih za civilno zrakoplovstvo (ICAO, ECAC, EASA, EUROCONTROL) te stručnih odbora na kojima  su sudjelovali predstavnici MMPI, postiže se unapređenje praćenja  ključnih svjetskih i europskih projekata i strategija, razvoj zakonodavnog okvira u području zračnog prometa kao i implementacija međunarodnih i pravnih obveza sukladno utvrđenim rokovima  </w:t>
            </w:r>
          </w:p>
          <w:p w:rsidR="00F244BA" w:rsidRDefault="00AC19E4">
            <w:pPr>
              <w:pStyle w:val="CellColumn"/>
              <w:jc w:val="left"/>
            </w:pPr>
            <w:r>
              <w:rPr>
                <w:rFonts w:cs="Times New Roman"/>
              </w:rPr>
              <w:t xml:space="preserve">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6</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7</w:t>
            </w:r>
          </w:p>
        </w:tc>
      </w:tr>
    </w:tbl>
    <w:p w:rsidR="00F244BA" w:rsidRDefault="00F244BA">
      <w:pPr>
        <w:jc w:val="left"/>
      </w:pPr>
    </w:p>
    <w:p w:rsidR="00F244BA" w:rsidRDefault="00AC19E4">
      <w:pPr>
        <w:pStyle w:val="Naslov4"/>
      </w:pPr>
      <w:r>
        <w:t>A570249 GORSKE SLUŽBE SPAŠAVANJA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A570249-GORSKE SLUŽBE SPAŠAVANJA</w:t>
            </w:r>
          </w:p>
        </w:tc>
        <w:tc>
          <w:tcPr>
            <w:tcW w:w="2041" w:type="dxa"/>
          </w:tcPr>
          <w:p w:rsidR="00F244BA" w:rsidRDefault="00AC19E4">
            <w:pPr>
              <w:pStyle w:val="CellColumn"/>
              <w:jc w:val="right"/>
            </w:pPr>
            <w:r>
              <w:rPr>
                <w:rFonts w:cs="Times New Roman"/>
              </w:rPr>
              <w:t>66.362</w:t>
            </w:r>
          </w:p>
        </w:tc>
        <w:tc>
          <w:tcPr>
            <w:tcW w:w="2041" w:type="dxa"/>
          </w:tcPr>
          <w:p w:rsidR="00F244BA" w:rsidRDefault="00AC19E4">
            <w:pPr>
              <w:pStyle w:val="CellColumn"/>
              <w:jc w:val="right"/>
            </w:pPr>
            <w:r>
              <w:rPr>
                <w:rFonts w:cs="Times New Roman"/>
              </w:rPr>
              <w:t>83.300</w:t>
            </w:r>
          </w:p>
        </w:tc>
        <w:tc>
          <w:tcPr>
            <w:tcW w:w="2041" w:type="dxa"/>
          </w:tcPr>
          <w:p w:rsidR="00F244BA" w:rsidRDefault="00AC19E4">
            <w:pPr>
              <w:pStyle w:val="CellColumn"/>
              <w:jc w:val="right"/>
            </w:pPr>
            <w:r>
              <w:rPr>
                <w:rFonts w:cs="Times New Roman"/>
              </w:rPr>
              <w:t>83.247</w:t>
            </w:r>
          </w:p>
        </w:tc>
        <w:tc>
          <w:tcPr>
            <w:tcW w:w="1224" w:type="dxa"/>
          </w:tcPr>
          <w:p w:rsidR="00F244BA" w:rsidRDefault="00AC19E4">
            <w:pPr>
              <w:pStyle w:val="CellColumn"/>
              <w:jc w:val="right"/>
            </w:pPr>
            <w:r>
              <w:rPr>
                <w:rFonts w:cs="Times New Roman"/>
              </w:rPr>
              <w:t>99,9</w:t>
            </w:r>
          </w:p>
        </w:tc>
        <w:tc>
          <w:tcPr>
            <w:tcW w:w="1224" w:type="dxa"/>
          </w:tcPr>
          <w:p w:rsidR="00F244BA" w:rsidRDefault="00AC19E4">
            <w:pPr>
              <w:pStyle w:val="CellColumn"/>
              <w:jc w:val="right"/>
            </w:pPr>
            <w:r>
              <w:rPr>
                <w:rFonts w:cs="Times New Roman"/>
              </w:rPr>
              <w:t>125,4</w:t>
            </w:r>
          </w:p>
        </w:tc>
      </w:tr>
    </w:tbl>
    <w:p w:rsidR="00F244BA" w:rsidRDefault="00F244BA">
      <w:pPr>
        <w:jc w:val="left"/>
      </w:pPr>
    </w:p>
    <w:p w:rsidR="00F244BA" w:rsidRDefault="00AC19E4">
      <w:pPr>
        <w:pStyle w:val="Naslov8"/>
        <w:jc w:val="left"/>
      </w:pPr>
      <w:r>
        <w:t>Zakonske i druge pravne osnove</w:t>
      </w:r>
    </w:p>
    <w:p w:rsidR="00F244BA" w:rsidRDefault="00AC19E4">
      <w:r>
        <w:t>- Sporazum o dugoročnoj suradnji u provedbi programa aktivnosti traganja i spašavanja na nepristupačnim prostorima izvan gradova i javnih prometnica od 14. listopada 2003. godine, zaključen između Ministarstva i Hrvatske gorske službe spašavanja (HGSS), slijedom kojega se sklapaju godišnji ugovori.</w:t>
      </w:r>
    </w:p>
    <w:p w:rsidR="00F244BA" w:rsidRDefault="00AC19E4">
      <w:pPr>
        <w:pStyle w:val="Naslov8"/>
        <w:jc w:val="left"/>
      </w:pPr>
      <w:r>
        <w:t>Opis aktivnosti</w:t>
      </w:r>
    </w:p>
    <w:p w:rsidR="00F244BA" w:rsidRDefault="00AC19E4">
      <w:r>
        <w:t xml:space="preserve">Temeljem Sporazuma o dugoročnoj suradnji o provedbi programa aktivnosti traganja i spašavanja na nepristupačnim prostorima izvan gradova i javnih prometnica i Ugovora br. 02/SZP/2024, koji je sklopljen između Ministarstva i Hrvatske gorske službe spašavanja (HGSS), proračunskim sredstvima s ove aktivnosti u 2024. godini sufinancirano je opremanje službe traganja i spašavanja HGSS-a u iznosu od 56.800 € te održavanje hladnog pogona i osiguranje pripadnika HGSS-a u iznosu od 26.447 €, što ukupno iznosi 83.247 €.  </w:t>
      </w:r>
    </w:p>
    <w:p w:rsidR="00F244BA" w:rsidRDefault="00AC19E4">
      <w:r>
        <w:t xml:space="preserve">Navedenim Sporazumom HGSS se obvezuje da će na poziv Ministarstva intervenirati u svim slučajevima kada dođe do prometne nesreće ili sumnje da je do nesreće došlo na nepristupačnim terenima i u situacijama kada treba primijeniti posebno znanje, vještinu i specijalnu opremu za spašavanje, a Ministarstvo će za uzvrat HGSS-u sufinancirati određeni broj aktivnosti planiranih u godišnjem programu rada HGSS-a, a koje se odnose na opremanje službe traganja i spašavanja i na provođenje potrebnih radnji za održavanja hladnog pogona i razine sposobnosti   pripadnika HGSS-a.  </w:t>
      </w:r>
    </w:p>
    <w:p w:rsidR="00F244BA" w:rsidRDefault="00AC19E4">
      <w:r>
        <w:t>Planirani ciljevi ove aktivnosti u 2024. godini su postignuti, aktivnost se provodila sukladno očekivanju i nisu uočeni problemi u izvršavanju iste.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podržanih aktivnosti HGSS-a iz cjelovitog godišnjeg programa aktivnosti u provedbi priprema za zadaće traganja i spašavanja na nepristupačnim prostorima</w:t>
            </w:r>
          </w:p>
        </w:tc>
        <w:tc>
          <w:tcPr>
            <w:tcW w:w="2551" w:type="dxa"/>
          </w:tcPr>
          <w:p w:rsidR="00F244BA" w:rsidRDefault="00AC19E4">
            <w:pPr>
              <w:pStyle w:val="CellColumn"/>
              <w:jc w:val="left"/>
            </w:pPr>
            <w:r>
              <w:rPr>
                <w:rFonts w:cs="Times New Roman"/>
              </w:rPr>
              <w:t xml:space="preserve">Očuvanjem broja podržanih aktivnosti HGSS-a  iz cjelovitog godišnjeg programa aktivnosti u provedbi priprema za zadaće traganja i spašavanja na nepristupačnim prostorima, stvaraju se uvjeti za kvalitetno traganje i spašavanje u  prometu na nepristupačnim prostorima unutar RH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3</w:t>
            </w:r>
          </w:p>
        </w:tc>
      </w:tr>
    </w:tbl>
    <w:p w:rsidR="00F244BA" w:rsidRDefault="00F244BA">
      <w:pPr>
        <w:jc w:val="left"/>
      </w:pPr>
    </w:p>
    <w:p w:rsidR="00F244BA" w:rsidRDefault="00AC19E4">
      <w:pPr>
        <w:pStyle w:val="Naslov4"/>
      </w:pPr>
      <w:r>
        <w:t>A570333 OSIGURANJE SIGURNOSNO PROMETNIH STANDARDA U ZRAČNIM LUKAMA RH</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A570333-OSIGURANJE SIGURNOSNO PROMETNIH STANDARDA U ZRAČNIM LUKAMA RH</w:t>
            </w:r>
          </w:p>
        </w:tc>
        <w:tc>
          <w:tcPr>
            <w:tcW w:w="2041" w:type="dxa"/>
          </w:tcPr>
          <w:p w:rsidR="00F244BA" w:rsidRDefault="00AC19E4">
            <w:pPr>
              <w:pStyle w:val="CellColumn"/>
              <w:jc w:val="right"/>
            </w:pPr>
            <w:r>
              <w:rPr>
                <w:rFonts w:cs="Times New Roman"/>
              </w:rPr>
              <w:t>5.647.471</w:t>
            </w:r>
          </w:p>
        </w:tc>
        <w:tc>
          <w:tcPr>
            <w:tcW w:w="2041" w:type="dxa"/>
          </w:tcPr>
          <w:p w:rsidR="00F244BA" w:rsidRDefault="00AC19E4">
            <w:pPr>
              <w:pStyle w:val="CellColumn"/>
              <w:jc w:val="right"/>
            </w:pPr>
            <w:r>
              <w:rPr>
                <w:rFonts w:cs="Times New Roman"/>
              </w:rPr>
              <w:t>7.636.650</w:t>
            </w:r>
          </w:p>
        </w:tc>
        <w:tc>
          <w:tcPr>
            <w:tcW w:w="2041" w:type="dxa"/>
          </w:tcPr>
          <w:p w:rsidR="00F244BA" w:rsidRDefault="00AC19E4">
            <w:pPr>
              <w:pStyle w:val="CellColumn"/>
              <w:jc w:val="right"/>
            </w:pPr>
            <w:r>
              <w:rPr>
                <w:rFonts w:cs="Times New Roman"/>
              </w:rPr>
              <w:t>5.813.583</w:t>
            </w:r>
          </w:p>
        </w:tc>
        <w:tc>
          <w:tcPr>
            <w:tcW w:w="1224" w:type="dxa"/>
          </w:tcPr>
          <w:p w:rsidR="00F244BA" w:rsidRDefault="00AC19E4">
            <w:pPr>
              <w:pStyle w:val="CellColumn"/>
              <w:jc w:val="right"/>
            </w:pPr>
            <w:r>
              <w:rPr>
                <w:rFonts w:cs="Times New Roman"/>
              </w:rPr>
              <w:t>76,1</w:t>
            </w:r>
          </w:p>
        </w:tc>
        <w:tc>
          <w:tcPr>
            <w:tcW w:w="1224" w:type="dxa"/>
          </w:tcPr>
          <w:p w:rsidR="00F244BA" w:rsidRDefault="00AC19E4">
            <w:pPr>
              <w:pStyle w:val="CellColumn"/>
              <w:jc w:val="right"/>
            </w:pPr>
            <w:r>
              <w:rPr>
                <w:rFonts w:cs="Times New Roman"/>
              </w:rPr>
              <w:t>102,9</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zračnom prometu, članak 41a    </w:t>
      </w:r>
    </w:p>
    <w:p w:rsidR="00F244BA" w:rsidRDefault="00AC19E4">
      <w:r>
        <w:t xml:space="preserve">- Zakon o zračnim lukama   </w:t>
      </w:r>
    </w:p>
    <w:p w:rsidR="00F244BA" w:rsidRDefault="00AC19E4">
      <w:r>
        <w:t xml:space="preserve">- Nacionalni program sigurnosti u zračnom prometu    </w:t>
      </w:r>
    </w:p>
    <w:p w:rsidR="00F244BA" w:rsidRDefault="00AC19E4">
      <w:r>
        <w:t xml:space="preserve">- Nacionalni program zaštite civilnog zračnog prometa, koji je Vlada Republike Hrvatske donijela na sjednici održanoj 24. svibnja 2018.   </w:t>
      </w:r>
    </w:p>
    <w:p w:rsidR="00F244BA" w:rsidRDefault="00AC19E4">
      <w:r>
        <w:t xml:space="preserve"> - Odluka o obvezi otvorenosti Zračne luke Osijek za javni zračni promet u razdoblju od 2024. – 2028. godine od 29. studenoga 2023. godine </w:t>
      </w:r>
    </w:p>
    <w:p w:rsidR="00F244BA" w:rsidRDefault="00AC19E4">
      <w:r>
        <w:t>- Dodatak 14 Čikaškoj konvenciji (standardi sigurnosti na aerodromima)</w:t>
      </w:r>
    </w:p>
    <w:p w:rsidR="00F244BA" w:rsidRDefault="00AC19E4">
      <w:pPr>
        <w:pStyle w:val="Naslov8"/>
        <w:jc w:val="left"/>
      </w:pPr>
      <w:r>
        <w:t>Opis aktivnosti</w:t>
      </w:r>
    </w:p>
    <w:p w:rsidR="00F244BA" w:rsidRDefault="00AC19E4">
      <w:r>
        <w:t xml:space="preserve">Sukladno obvezama koje proizlaze iz članstva Republike Hrvatske u međunarodnim organizacijama za civilni zračni promet (ICAO, ECAC, EUROCONTROL i dr.), Republika Hrvatska je dužna ispuniti zahtjeve za povećanim zaštitnim i sigurnosnim mjerama na svim aerodromima u zemlji. Mjere obuhvaćaju osiguranje potrebne zaštitne i sigurnosne opreme kao i izvođenje radova na aerodromskoj infrastrukturi koji su od važnosti za siguran prihvat zrakoplova i putnika na aerodromima. Važno je napomenuti da infrastrukturne projekte, kao i mjere sigurnosti i zaštite na aerodromima, u najvećoj mjeri financiraju sami aerodromi uz sufinanciranje države proračunskim sredstvima koja se planiraju na ovoj aktivnosti.  </w:t>
      </w:r>
    </w:p>
    <w:p w:rsidR="00F244BA" w:rsidRDefault="00AC19E4">
      <w:r>
        <w:t xml:space="preserve">Proračunskim sredstvima s ove aktivnosti (Kapitalne pomoći trgovačkim društvima u javnom sektoru) u 2024. godini podržane su mjere na aerodromima, kojima se utjecalo na poboljšanje aerodromske infrastrukture i povećanje sigurnosti i zaštite aerodroma u Republici Hrvatskoj u sveukupnom iznosu od 4.370.927 €.  </w:t>
      </w:r>
    </w:p>
    <w:p w:rsidR="00F244BA" w:rsidRDefault="00AC19E4">
      <w:r>
        <w:t xml:space="preserve">U 2024. godini podržane su sljedeće mjere na aerodromima u Republici Hrvatskoj: </w:t>
      </w:r>
    </w:p>
    <w:p w:rsidR="00F244BA" w:rsidRDefault="00AC19E4">
      <w:r>
        <w:t xml:space="preserve">- Zračnoj luci Osijek sufinancirana je gradnja putničkog terminala, projektiranje i ugradnja sustava sigurnosnih svjetala USS-a, nabava agregatskog postrojenja, nabava utovarivača tereta (cargo loader) i nabava vozila za vođenje zrakoplova (follow me) u ukupnom iznosu od 1.100.067 €. </w:t>
      </w:r>
    </w:p>
    <w:p w:rsidR="00F244BA" w:rsidRDefault="00AC19E4">
      <w:r>
        <w:t xml:space="preserve">- Zračnoj luci Zadar sufinancirana je rekonstrukcija sustava rasvjete staza za vožnju A i H, nabava specijalnog vozila za uklanjanje FOD-a sa operativnih površina, rekonstrukcija i dogradnja putničkog terminala 3. faza – podfaza 3.3. i radova na unaprjeđenju rezervnog u ukupnom iznosu od 1.311.305 €. </w:t>
      </w:r>
    </w:p>
    <w:p w:rsidR="00F244BA" w:rsidRDefault="00AC19E4">
      <w:r>
        <w:t xml:space="preserve">- Zračnoj luci Pula sufinancirani su radovi na dovršetku sanacije asfaltne površine stajanke za zrakoplove (parkirne pozicije 7-10), na sanaciji pukotina na stazama za voženje, uklanjanje stare zaštitne ograde i čišćenje raslinja, nabava uređaja za detekciju eksploziva (ETD uređaj), nabava metal-detektorskih vrata (MD vrata), nabava metal-detektorski uređaji za kontrolu obuće, sanacija protupožarnog puta, nabava 2 servera za sustav video nadzora i nabava vozila za vođenje zrakoplova (follow me) vozilo u ukupnom iznosu od 1.149.244 €. </w:t>
      </w:r>
    </w:p>
    <w:p w:rsidR="00F244BA" w:rsidRDefault="00AC19E4">
      <w:r>
        <w:t xml:space="preserve">- Aerodromu Brač sufinancirana je nabava spasilačko – vatrogasne opreme i sredstava, nabava i ugradnja svjetlosne signalizacije te bojanje oznaka na operativnim površinama u ukupnom iznosu od 157.631 €. </w:t>
      </w:r>
    </w:p>
    <w:p w:rsidR="00F244BA" w:rsidRDefault="00AC19E4">
      <w:r>
        <w:t xml:space="preserve">- Zračnom pristaništu Mali Lošinj sufinancirana je izmjena aerodromskog priručnika, izrada tehničke dokumentacije za izmjene dimenzije osnovne staze i definiranje RESE, priprema izmjene tekstualnog dijela AIP-a i izrada aerodromske karte te nabava traktora s malčerom za održavanje aerodromskih površina u ukupnom iznosu od 103.204 €. </w:t>
      </w:r>
    </w:p>
    <w:p w:rsidR="00F244BA" w:rsidRDefault="00AC19E4">
      <w:r>
        <w:t xml:space="preserve">- Zračnoj luci Rijeka sufinancirani su radovi na rekonstrukciji kaponira na pragu 32 – faza 3, niveliranje RESA-e – faza 6, rekonstrukciji dijela krovnih površina terminalne zgrade, rekonstrukciji dijela površine i prometnica- landside, proširenje prostora zaštitnog pregleda putnika faza 1, izrada geodetske podloge/elaborati za projekt proširenja platforme i novog hangara, izrada idejnog projekta proširenja stajanke za zrakoplove, projektiranje </w:t>
      </w:r>
      <w:r>
        <w:lastRenderedPageBreak/>
        <w:t xml:space="preserve">okomite/alternativne uzletno-sletne staze-izrada geodetskih podloga/elaborata za idejni projekt, nabava opreme za opslugu zrakoplova, rekonstrukcija dijela vodovodne mreže i rekonstrukcija gromobrana terminalne zgrade u ukupnom iznosu od 549.476 €.  </w:t>
      </w:r>
    </w:p>
    <w:p w:rsidR="00F244BA" w:rsidRDefault="00AC19E4">
      <w:r>
        <w:t xml:space="preserve">Sredstvima s ove aktivnosti u 2024. godini (Subvencije trgovačkim društvima u javnom sektoru), financirane su i mjere očuvanja otvorenosti Zračne luke Osijek d.o.o., tj. financirani su troškovi obavljanja javne usluge (Services of General Economic Interest - SGEI), na temelju Odluke o obvezi otvorenosti Zračne luke Osijek za javni zračni promet u razdoblju od 2024. – 2028. godine, koja je donesena 29. studenoga 2023. godine te je Zračnoj luci Osijek za tu namjenu isplaćen iznos od ukupno 1.442.656 €. </w:t>
      </w:r>
    </w:p>
    <w:p w:rsidR="00F244BA" w:rsidRDefault="00AC19E4">
      <w:r>
        <w:t xml:space="preserve">Tijekom 2024. godine ova aktivnost nije se provodila planiranom dinamikom, budući  je izostalo značajnije povlačenje financijskih sredstava, koja su planirana za rekonstrukciju putničkog terminala Zračne luke Osijek (prema sklopljenom Ugovoru broj: 07/SZP/2024) kao i za rekonstrukciju i dogradnju putničkog terminala Zračne luke Zadar (prema sklopljenom Ugovoru broj: 06/SZP/2024). Navedene zračne luke su potpisale ugovore sa izvođačima i aplicirale za proračunskim sredstvima, ali zahtjeve za isplatu sredstava, za navedene projekte, do kraja proračunske 2024. godine nisu dostavile te su planirana proračunska sredstva za tu namjenu ostala neutrošena. </w:t>
      </w:r>
    </w:p>
    <w:p w:rsidR="00F244BA" w:rsidRDefault="00AC19E4">
      <w:r>
        <w:t>U odnosu za zadane ciljeve ove aktivnosti isti su postignuti jer je proračunskim sredstvima u 2024. godini  podržano 12 mjera (zahtjeva) aerodroma, što je za 4 zahtjeva više od ciljane vrijednosti. Podržavanje većeg broja zahtjeva ostvareno je iz razloga što su aerodromi aplicirali za sufinanciranje mjera koje su bile manje financijske vrijednosti.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podržanih mjera (zahtjeva) aerodroma u svrhu sigurnosti i zaštite aerodroma u RH</w:t>
            </w:r>
          </w:p>
        </w:tc>
        <w:tc>
          <w:tcPr>
            <w:tcW w:w="2551" w:type="dxa"/>
          </w:tcPr>
          <w:p w:rsidR="00F244BA" w:rsidRDefault="00AC19E4">
            <w:pPr>
              <w:pStyle w:val="CellColumn"/>
              <w:jc w:val="left"/>
            </w:pPr>
            <w:r>
              <w:rPr>
                <w:rFonts w:cs="Times New Roman"/>
              </w:rPr>
              <w:t xml:space="preserve">Povećanjem broja podržanih mjera (zahtjeva) aerodroma postiže se povećanje sigurnosti i zaštite zračnog prometa u RH)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8</w:t>
            </w:r>
          </w:p>
        </w:tc>
        <w:tc>
          <w:tcPr>
            <w:tcW w:w="1020" w:type="dxa"/>
          </w:tcPr>
          <w:p w:rsidR="00F244BA" w:rsidRDefault="00AC19E4">
            <w:pPr>
              <w:pStyle w:val="CellColumn"/>
              <w:jc w:val="right"/>
            </w:pPr>
            <w:r>
              <w:rPr>
                <w:rFonts w:cs="Times New Roman"/>
              </w:rPr>
              <w:t>12</w:t>
            </w:r>
          </w:p>
        </w:tc>
      </w:tr>
    </w:tbl>
    <w:p w:rsidR="00F244BA" w:rsidRDefault="00F244BA">
      <w:pPr>
        <w:jc w:val="left"/>
      </w:pPr>
    </w:p>
    <w:p w:rsidR="00F244BA" w:rsidRDefault="00AC19E4">
      <w:pPr>
        <w:pStyle w:val="Naslov4"/>
      </w:pPr>
      <w:r>
        <w:t>A587050 OČUVANJE PROMETNE POVEZANOSTI REGIJA (DOMAĆI LINIJSKI ZRAČNI PRIJEVOZ)</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A587050-OČUVANJE PROMETNE POVEZANOSTI REGIJA (DOMAĆI LINIJSKI ZRAČNI PRIJEVOZ)</w:t>
            </w:r>
          </w:p>
        </w:tc>
        <w:tc>
          <w:tcPr>
            <w:tcW w:w="2041" w:type="dxa"/>
          </w:tcPr>
          <w:p w:rsidR="00F244BA" w:rsidRDefault="00AC19E4">
            <w:pPr>
              <w:pStyle w:val="CellColumn"/>
              <w:jc w:val="right"/>
            </w:pPr>
            <w:r>
              <w:rPr>
                <w:rFonts w:cs="Times New Roman"/>
              </w:rPr>
              <w:t>20.486.267</w:t>
            </w:r>
          </w:p>
        </w:tc>
        <w:tc>
          <w:tcPr>
            <w:tcW w:w="2041" w:type="dxa"/>
          </w:tcPr>
          <w:p w:rsidR="00F244BA" w:rsidRDefault="00AC19E4">
            <w:pPr>
              <w:pStyle w:val="CellColumn"/>
              <w:jc w:val="right"/>
            </w:pPr>
            <w:r>
              <w:rPr>
                <w:rFonts w:cs="Times New Roman"/>
              </w:rPr>
              <w:t>19.261.786</w:t>
            </w:r>
          </w:p>
        </w:tc>
        <w:tc>
          <w:tcPr>
            <w:tcW w:w="2041" w:type="dxa"/>
          </w:tcPr>
          <w:p w:rsidR="00F244BA" w:rsidRDefault="00AC19E4">
            <w:pPr>
              <w:pStyle w:val="CellColumn"/>
              <w:jc w:val="right"/>
            </w:pPr>
            <w:r>
              <w:rPr>
                <w:rFonts w:cs="Times New Roman"/>
              </w:rPr>
              <w:t>19.137.376</w:t>
            </w:r>
          </w:p>
        </w:tc>
        <w:tc>
          <w:tcPr>
            <w:tcW w:w="1224" w:type="dxa"/>
          </w:tcPr>
          <w:p w:rsidR="00F244BA" w:rsidRDefault="00AC19E4">
            <w:pPr>
              <w:pStyle w:val="CellColumn"/>
              <w:jc w:val="right"/>
            </w:pPr>
            <w:r>
              <w:rPr>
                <w:rFonts w:cs="Times New Roman"/>
              </w:rPr>
              <w:t>99,4</w:t>
            </w:r>
          </w:p>
        </w:tc>
        <w:tc>
          <w:tcPr>
            <w:tcW w:w="1224" w:type="dxa"/>
          </w:tcPr>
          <w:p w:rsidR="00F244BA" w:rsidRDefault="00AC19E4">
            <w:pPr>
              <w:pStyle w:val="CellColumn"/>
              <w:jc w:val="right"/>
            </w:pPr>
            <w:r>
              <w:rPr>
                <w:rFonts w:cs="Times New Roman"/>
              </w:rPr>
              <w:t>93,4</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zračnom prometu, članak 30, stavak l  </w:t>
      </w:r>
    </w:p>
    <w:p w:rsidR="00F244BA" w:rsidRDefault="00AC19E4">
      <w:r>
        <w:t xml:space="preserve">- Odluka o obvezi obavljanja domaćeg linijskog zračnog prijevoza za razdoblje od 4. srpnja 2022. do 28. ožujka 2026. godine, koju je Vlada Republike Hrvatske donijela 30. travnja 2020. godine, 22. travnja 2021. godine i  9. lipnja 2022. godine </w:t>
      </w:r>
    </w:p>
    <w:p w:rsidR="00F244BA" w:rsidRDefault="00AC19E4">
      <w:r>
        <w:lastRenderedPageBreak/>
        <w:t xml:space="preserve">- Odluka o izboru ponuda za obavljanje usluge domaćeg linijskog zračnog prijevoza, koju je Ministarstvo mora, prometa i infrastrukture donijelo 21. lipnja 2022. godine  </w:t>
      </w:r>
    </w:p>
    <w:p w:rsidR="00F244BA" w:rsidRDefault="00AC19E4">
      <w:r>
        <w:t xml:space="preserve">- Odluka o davanju suglasnosti Ministarstvu mora, prometa i infrastrukture za preuzimanje obveza na teret sredstava državnog proračuna Republike Hrvatske u razdoblju od 2022. do 2026. godine za sklapanje ugovora o obvezi obavljanja domaćeg linijskog zračnog prijevoza, koju je Vlada Republike Hrvatske donijela na sjednici održanoj 1. rujna 2022. godine </w:t>
      </w:r>
    </w:p>
    <w:p w:rsidR="00F244BA" w:rsidRDefault="00AC19E4">
      <w:r>
        <w:t xml:space="preserve">- Ugovor o obvezi obavljanja domaćeg linijskog zračnog prijevoza za razdoblje od 4. srpnja 2022. do 28. ožujka 2026. godine, od 7. rujna 2022. godine (sa zračnim prijevoznikom Croatia Airlines d.d.)  </w:t>
      </w:r>
    </w:p>
    <w:p w:rsidR="00F244BA" w:rsidRDefault="00AC19E4">
      <w:r>
        <w:t>- Ugovor o obvezi obavljanja domaćeg linijskog zračnog prijevoza za razdoblje od 4. srpnja 2022. do 28. ožujka 2026. godine, od 7. rujna 2022. godine (sa zračnim prijevoznikom Trade Air d.o.o.)</w:t>
      </w:r>
    </w:p>
    <w:p w:rsidR="00F244BA" w:rsidRDefault="00AC19E4">
      <w:pPr>
        <w:pStyle w:val="Naslov8"/>
        <w:jc w:val="left"/>
      </w:pPr>
      <w:r>
        <w:t>Opis aktivnosti</w:t>
      </w:r>
    </w:p>
    <w:p w:rsidR="00F244BA" w:rsidRDefault="00AC19E4">
      <w:r>
        <w:t xml:space="preserve">Sredstvima s ove aktivnosti u 2024. godini isplaćivana je naknada zračnim prijevoznicima za obavljanje prijevoza na domaćim redovitim zračnim linijama, kao javne usluge (Services of General Economic Interest – SGEI) i to zračnom prijevozniku Croatia Airlines d.d. (za održavanje 6 zračnih linija) i zračnom prijevozniku Trade Air d.o.o. (za održavanje 6 zračnih linija) u ukupnom iznosu od 19.137.376 €.  </w:t>
      </w:r>
    </w:p>
    <w:p w:rsidR="00F244BA" w:rsidRDefault="00AC19E4">
      <w:r>
        <w:t xml:space="preserve">Zračnom prijevozniku Croatia Airlines d.d. su, na temelju Ugovora od 7. rujna 2022. godine, sredstvima s ove aktivnosti u 2024. godini plaćeni troškovi obavljanja domaćeg linijskog zračnog prijevoza koji su nastali u razdoblju od 1. prosinca 2023. do 30. listopada 2024. godine i to u iznosu od 14.278.465 €. </w:t>
      </w:r>
    </w:p>
    <w:p w:rsidR="00F244BA" w:rsidRDefault="00AC19E4">
      <w:r>
        <w:t xml:space="preserve">Zračnom prijevozniku Trade Air d.o.o. su,  na temelju Ugovora od 7. rujna 2022. godine,  sredstvima s ove aktivnosti u 2024. godini plaćeni troškovi obavljanja domaćeg linijskog zračnog prijevoza koji su nastali u razdoblju od 1. prosinca 2023. do 31. studenoga 2024. godine i to u iznosu od 4.858.911 €. </w:t>
      </w:r>
    </w:p>
    <w:p w:rsidR="00F244BA" w:rsidRDefault="00AC19E4">
      <w:r>
        <w:t xml:space="preserve">Zračni prijevoznici su u 2024. godini obavljali domaći linijski zračni prijevoz kao javnu uslugu te je u razdoblju 1. siječnja 2024. do 30. prosinca 2024. godine, Croatia Airlines ostvarila fizički promet od 5.622 leta, dok je Trade Air ostvario fizički promet od 1.504 leta. U razdoblju siječanj – prosinac 2024. godine ostvaren je fizički promet od ukupno 7.126 leta na domaćim zračnim linijama, što je za 26 leta više od procijenjene ciljane godišnje vrijednosti.  </w:t>
      </w:r>
    </w:p>
    <w:p w:rsidR="00F244BA" w:rsidRDefault="00AC19E4">
      <w:r>
        <w:t xml:space="preserve">Razlika više ostvarenih letova u odnosu na ciljanu godišnju vrijednost je nastala jer su ugovorima definirana razdoblja za koja zračni prijevoznici obavljaju ovu javnu uslugu kao i broj letova kroz ista razdoblja, a koja razdoblja se ne poklapaju s kalendarskom godinom. te iz tog razloga, kod procjene ciljane vrijednosti,  nije bilo moguće jasno razdvojiti broj letova prema kalendarskoj 2024. godini.  </w:t>
      </w:r>
    </w:p>
    <w:p w:rsidR="00F244BA" w:rsidRDefault="00AC19E4">
      <w:r>
        <w:t>Planirani ciljevi ove aktivnosti u 2024. godini su postignuti, zračni prijevoznici su obavljali ovu javnu uslugu ugovorenom dinamikom te nisu uočeni problemi u njenom izvršavanju.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podržanih letova na domaćim zračnim linijama</w:t>
            </w:r>
          </w:p>
        </w:tc>
        <w:tc>
          <w:tcPr>
            <w:tcW w:w="2551" w:type="dxa"/>
          </w:tcPr>
          <w:p w:rsidR="00F244BA" w:rsidRDefault="00AC19E4">
            <w:pPr>
              <w:pStyle w:val="CellColumn"/>
              <w:jc w:val="left"/>
            </w:pPr>
            <w:r>
              <w:rPr>
                <w:rFonts w:cs="Times New Roman"/>
              </w:rPr>
              <w:t xml:space="preserve">Očuvanjem broja domaćih letova postiže se ujednačeni razvoj regija te održavanje postojeće prometne povezanosti regija i područja unutar RH  </w:t>
            </w:r>
          </w:p>
          <w:p w:rsidR="00F244BA" w:rsidRDefault="00AC19E4">
            <w:pPr>
              <w:pStyle w:val="CellColumn"/>
              <w:jc w:val="left"/>
            </w:pPr>
            <w:r>
              <w:rPr>
                <w:rFonts w:cs="Times New Roman"/>
              </w:rPr>
              <w:t xml:space="preserve">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6.100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7.100</w:t>
            </w:r>
          </w:p>
        </w:tc>
        <w:tc>
          <w:tcPr>
            <w:tcW w:w="1020" w:type="dxa"/>
          </w:tcPr>
          <w:p w:rsidR="00F244BA" w:rsidRDefault="00AC19E4">
            <w:pPr>
              <w:pStyle w:val="CellColumn"/>
              <w:jc w:val="right"/>
            </w:pPr>
            <w:r>
              <w:rPr>
                <w:rFonts w:cs="Times New Roman"/>
              </w:rPr>
              <w:t>7.126</w:t>
            </w:r>
          </w:p>
        </w:tc>
      </w:tr>
    </w:tbl>
    <w:p w:rsidR="00F244BA" w:rsidRDefault="00F244BA">
      <w:pPr>
        <w:jc w:val="left"/>
      </w:pPr>
    </w:p>
    <w:p w:rsidR="00F244BA" w:rsidRDefault="00AC19E4">
      <w:pPr>
        <w:pStyle w:val="Naslov4"/>
      </w:pPr>
      <w:r>
        <w:lastRenderedPageBreak/>
        <w:t>A754025 NADOKNADA TROŠKOVA HRVATSKOJ KONTROLI ZRAČNE PLOVIDBE ZA RUTNE I TERMINALNE NAKNADE ZA IZUZETE LETOVE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A754025-NADOKNADA TROŠKOVA HRVATSKOJ KONTROLI ZRAČNE PLOVIDBE ZA RUTNE I TERMINALNE NAKNADE ZA IZUZETE LETOVE</w:t>
            </w:r>
          </w:p>
        </w:tc>
        <w:tc>
          <w:tcPr>
            <w:tcW w:w="2041" w:type="dxa"/>
          </w:tcPr>
          <w:p w:rsidR="00F244BA" w:rsidRDefault="00AC19E4">
            <w:pPr>
              <w:pStyle w:val="CellColumn"/>
              <w:jc w:val="right"/>
            </w:pPr>
            <w:r>
              <w:rPr>
                <w:rFonts w:cs="Times New Roman"/>
              </w:rPr>
              <w:t>635.302</w:t>
            </w:r>
          </w:p>
        </w:tc>
        <w:tc>
          <w:tcPr>
            <w:tcW w:w="2041" w:type="dxa"/>
          </w:tcPr>
          <w:p w:rsidR="00F244BA" w:rsidRDefault="00AC19E4">
            <w:pPr>
              <w:pStyle w:val="CellColumn"/>
              <w:jc w:val="right"/>
            </w:pPr>
            <w:r>
              <w:rPr>
                <w:rFonts w:cs="Times New Roman"/>
              </w:rPr>
              <w:t>598.150</w:t>
            </w:r>
          </w:p>
        </w:tc>
        <w:tc>
          <w:tcPr>
            <w:tcW w:w="2041" w:type="dxa"/>
          </w:tcPr>
          <w:p w:rsidR="00F244BA" w:rsidRDefault="00AC19E4">
            <w:pPr>
              <w:pStyle w:val="CellColumn"/>
              <w:jc w:val="right"/>
            </w:pPr>
            <w:r>
              <w:rPr>
                <w:rFonts w:cs="Times New Roman"/>
              </w:rPr>
              <w:t>598.147</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94,2</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osnutku Hrvatske kontrole zračne plovidbe, članak 3, stavak 4  </w:t>
      </w:r>
    </w:p>
    <w:p w:rsidR="00F244BA" w:rsidRDefault="00AC19E4">
      <w:r>
        <w:t>- Odluka o utvrđivanju letova koji se izuzimaju od plaćanja naknada u zračnoj plovidbi</w:t>
      </w:r>
    </w:p>
    <w:p w:rsidR="00F244BA" w:rsidRDefault="00AC19E4">
      <w:pPr>
        <w:pStyle w:val="Naslov8"/>
        <w:jc w:val="left"/>
      </w:pPr>
      <w:r>
        <w:t>Opis aktivnosti</w:t>
      </w:r>
    </w:p>
    <w:p w:rsidR="00F244BA" w:rsidRDefault="00AC19E4">
      <w:r>
        <w:t xml:space="preserve">Temeljem Zakona o osnutku Hrvatske kontrole zračne plovidbe  i Odluke o utvrđivanju letova koji se izuzimaju od plaćanja naknada u zračnoj plovidbi, proračunskim sredstvima s ove aktivnosti u 2024. godini izvršena je nadoknada troškova usluga koje je Hrvatska kontrola zračne plovidbe d.o.o. pružala letovima koji su izuzeti od plaćanja rutnih i terminalnih naknada (potraga i spašavanje, vojni letovi, policijski letovi, humanitarni letovi, određena osposobljavanja i dr.), a koji su nastali u prethodnoj 2023. godini.  </w:t>
      </w:r>
    </w:p>
    <w:p w:rsidR="00F244BA" w:rsidRDefault="00AC19E4">
      <w:r>
        <w:t xml:space="preserve">Budući je Zakonom o osnutku Hrvatske kontrole zračne plovidbe, između ostalog, određeno i da će se troškovi usluga koje društvo Hrvatska kontrola zračne plovidbe d.o.o. pruža izuzetim letovima, istom Društvu nadoknađivati iz sredstava državnog proračuna Republike Hrvatske, a troškovi letova će se nadoknađivati u tekućoj godini za troškove koji nastanu u prethodnoj godini, s ove aktivnosti u 2024. godini izvršena je nadoknada troškova Hrvatskoj kontroli zračne plovidbe d.o.o. za usluge koje je ona pružila izuzetim letovima u razdoblju od 1. siječnja 2023. do 31. prosinca 2023. godine.  </w:t>
      </w:r>
    </w:p>
    <w:p w:rsidR="00F244BA" w:rsidRDefault="00AC19E4">
      <w:r>
        <w:t xml:space="preserve">Hrvatska kontrola zračne plovidbe d.o.o. pružala je usluge izuzetim letovima u razdoblju od 1. siječnja 2023. do 31. prosinca 2023. godine, a za pružene usluge izuzetim letovima u navedenom razdoblju za rutne naknade (Service units) i za terminalne naknade (Service units) obračunati su i ukupni troškovi koji su iznosili 598.147 € i koji su plaćeni u 2024. godini.   </w:t>
      </w:r>
    </w:p>
    <w:p w:rsidR="00F244BA" w:rsidRDefault="00AC19E4">
      <w:r>
        <w:t>Imajući u vidu da je Hrvatska kontrola zračne plovidbe d.o.o. pružala usluge svim izuzetim letovima (potraga i spašavanje, vojni letovi, policijski letovi, humanitarni letovi, određena osposobljavanja i dr.) te da je u tekućoj 2024. godini izvršena nadoknada stvarno nastalih troškova za obavljenu uslugu u prethodnoj godini godini i to u 100% iznosu, planirani ciljevi ove aktivnosti su u 2024. godini postignuti.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Udio podržanih servisnih jedinica (Service units) za rutne naknade za izuzete letove</w:t>
            </w:r>
          </w:p>
        </w:tc>
        <w:tc>
          <w:tcPr>
            <w:tcW w:w="2551" w:type="dxa"/>
          </w:tcPr>
          <w:p w:rsidR="00F244BA" w:rsidRDefault="00AC19E4">
            <w:pPr>
              <w:pStyle w:val="CellColumn"/>
              <w:jc w:val="left"/>
            </w:pPr>
            <w:r>
              <w:rPr>
                <w:rFonts w:cs="Times New Roman"/>
              </w:rPr>
              <w:t xml:space="preserve">Podržavanjem servisnih jedinica (Service units) za rutne naknade za izuzete letove omogućava se nesmetan prelet zračnog prostora ili dolet na aerodrome u Republici Hrvatskoj, a za letove potraga i spašavanja, vojne letove, policijske letove te humanitarne letove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r w:rsidR="00F244BA">
        <w:trPr>
          <w:jc w:val="center"/>
        </w:trPr>
        <w:tc>
          <w:tcPr>
            <w:tcW w:w="2551" w:type="dxa"/>
          </w:tcPr>
          <w:p w:rsidR="00F244BA" w:rsidRDefault="00AC19E4">
            <w:pPr>
              <w:pStyle w:val="CellColumn"/>
              <w:jc w:val="left"/>
            </w:pPr>
            <w:r>
              <w:rPr>
                <w:rFonts w:cs="Times New Roman"/>
              </w:rPr>
              <w:t>Udio podržanih servisnih jedinica (Service units) za terminalne naknade za izuzete letove</w:t>
            </w:r>
          </w:p>
        </w:tc>
        <w:tc>
          <w:tcPr>
            <w:tcW w:w="2551" w:type="dxa"/>
          </w:tcPr>
          <w:p w:rsidR="00F244BA" w:rsidRDefault="00AC19E4">
            <w:pPr>
              <w:pStyle w:val="CellColumn"/>
              <w:jc w:val="left"/>
            </w:pPr>
            <w:r>
              <w:rPr>
                <w:rFonts w:cs="Times New Roman"/>
              </w:rPr>
              <w:t xml:space="preserve">Podržavanjem servisnih jedinica (Service units) za terminalne naknade za izuzete letove omogućava se nesmetan prelet zračnog prostora ili dolet na aerodrome u Republici Hrvatskoj, a za letove potraga i spašavanja, vojne letove, policijske letove te humanitarne letove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A754035 PROVEDBA UGOVORA O KONCESIJI ZA IZGRADNJU NOVOG PUTNIČKOG TERMINALA ZRAČNE LUKE ZAGREB</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A754035-PROVEDBA UGOVORA O KONCESIJI ZA IZGRADNJU NOVOG PUTNIČKOG TERMINALA ZRAČNE LUKE ZAGREB</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3.370</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Ugovor o koncesiji (Izmjena br. 2 Ugovora o koncesiji za izgradnju i upravljanje Zračnom lukom Zagreb između Republike Hrvatske i Međunarodne zračne luke Zagreb d.d.)., od 2. prosinca 2013.  </w:t>
      </w:r>
    </w:p>
    <w:p w:rsidR="00F244BA" w:rsidRDefault="00AC19E4">
      <w:r>
        <w:t xml:space="preserve">- Zaključak Vlade Republike Hrvatske od 10. srpnja 2014.  </w:t>
      </w:r>
    </w:p>
    <w:p w:rsidR="00F244BA" w:rsidRDefault="00AC19E4">
      <w:r>
        <w:t xml:space="preserve">- Sporazum o uređenju međusobnih odnosa u vezi davanja koncesije za Zračnu luku Zagreb između Ministarstva mora, prometa, i infrastrukture i Zračne luke Zagreb d.o.o. od 14. srpnja 2014.  </w:t>
      </w:r>
    </w:p>
    <w:p w:rsidR="00F244BA" w:rsidRDefault="00AC19E4">
      <w:r>
        <w:t>- Zakon o zračnim lukama, članak 9.b, stavak 11, članak 10</w:t>
      </w:r>
    </w:p>
    <w:p w:rsidR="00F244BA" w:rsidRDefault="00AC19E4">
      <w:pPr>
        <w:pStyle w:val="Naslov8"/>
        <w:jc w:val="left"/>
      </w:pPr>
      <w:r>
        <w:lastRenderedPageBreak/>
        <w:t>Opis aktivnosti</w:t>
      </w:r>
    </w:p>
    <w:p w:rsidR="00F244BA" w:rsidRDefault="00AC19E4">
      <w:r>
        <w:t xml:space="preserve">Nakon međunarodnog javnog natječaja, Vlada Republike Hrvatske dala je koncesiju društvu ZAIC za izgradnju Novog putničkog terminala i upravljanje Zračnom lukom Zagreb, a Ministarstvo mora, prometa i infrastrukture je sukladno članku 32. Zakona o koncesijama, u ime davatelja koncesije, nadležno za praćenje provođenja koncesije.   </w:t>
      </w:r>
    </w:p>
    <w:p w:rsidR="00F244BA" w:rsidRDefault="00AC19E4">
      <w:r>
        <w:t xml:space="preserve">U okviru nadležnosti Ministarstva, osnovano je Povjerenstvo za praćenje provedbe ugovora o koncesiji za izgradnju i upravljanje Zračnom lukom Zagreb, koje prati provedbu, izvršenje obveza iz Ugovora o koncesiji te koje ima obvezu da davatelju koncesije i Ministarstvu financija dostavlja izvještaje o provedbi Ugovora o koncesiji.  </w:t>
      </w:r>
    </w:p>
    <w:p w:rsidR="00F244BA" w:rsidRDefault="00AC19E4">
      <w:r>
        <w:t xml:space="preserve">Na ovoj aktivnosti u 2024. godini planirana su proračunska sredstva u svrhu plaćanja naknade za korištenje nekretnina društva Zračne luke Zagreb d.o.o. Ministarstvo je pokrenulo postupak za rješavanje pitanja sklapanja Sporazuma o plaćanju naknade za korištenje imovine Zračne luke Zagreb d.o.o. između svih suvlasnika te je definiran i model plaćanja naknade, koju bi temeljem navedenog Sporazuma plaćali svi suvlasnici. Sukladno vlasničkom udjelu, Republika Hrvatska bi u plaćanju godišnje naknade za korištenje imovine Zračne luke Zagreb d.o.o. sudjelovala s 55%, odnosno u iznosu od 182.494 eura/godišnje. Međutim, u 2024. godini nije sklopljen navedeni Sporazum te su stoga planirana sredstva za tu namjenu ostala neutrošena. </w:t>
      </w:r>
    </w:p>
    <w:p w:rsidR="00F244BA" w:rsidRDefault="00AC19E4">
      <w:r>
        <w:t>Imajući u vidu da je tijekom 2024. godine, Povjerenstvo za praćenje provedbe ugovora o koncesiji za izgradnju i upravljanje Zračnom lukom Zagreb, pratilo provedbu obveza iz Ugovora o koncesiji te davatelju koncesije i Ministarstvu financija dostavljalo izvještaje o provedbi Ugovora o koncesiji, ostvarena je ciljana vrijednost ove aktivnosti u 2024. godini.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dostavljenih izvještaja o provedbi Ugovora o koncesiji</w:t>
            </w:r>
          </w:p>
        </w:tc>
        <w:tc>
          <w:tcPr>
            <w:tcW w:w="2551" w:type="dxa"/>
          </w:tcPr>
          <w:p w:rsidR="00F244BA" w:rsidRDefault="00AC19E4">
            <w:pPr>
              <w:pStyle w:val="CellColumn"/>
              <w:jc w:val="left"/>
            </w:pPr>
            <w:r>
              <w:rPr>
                <w:rFonts w:cs="Times New Roman"/>
              </w:rPr>
              <w:t xml:space="preserve">Očuvanjem broja dostavljenih izvještaja o provedbi Ugovora o koncesiji postiže se ujednačeno praćenje izvršenja obveza iz Ugovora o koncesiji  </w:t>
            </w:r>
          </w:p>
          <w:p w:rsidR="00F244BA" w:rsidRDefault="00AC19E4">
            <w:pPr>
              <w:pStyle w:val="CellColumn"/>
              <w:jc w:val="left"/>
            </w:pPr>
            <w:r>
              <w:rPr>
                <w:rFonts w:cs="Times New Roman"/>
              </w:rPr>
              <w:t>Napomena: Radi se o godišnjoj vrijednosti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3</w:t>
            </w:r>
          </w:p>
        </w:tc>
      </w:tr>
    </w:tbl>
    <w:p w:rsidR="00F244BA" w:rsidRDefault="00F244BA">
      <w:pPr>
        <w:jc w:val="left"/>
      </w:pPr>
    </w:p>
    <w:p w:rsidR="00F244BA" w:rsidRDefault="00AC19E4">
      <w:pPr>
        <w:pStyle w:val="Naslov3"/>
      </w:pPr>
      <w:r>
        <w:rPr>
          <w:rFonts w:cs="Times New Roman"/>
        </w:rPr>
        <w:t>3114 IZGRADNJA I ODRŽAVANJE ŽELJEZNIČKE INFRASTRUKTURE</w:t>
      </w:r>
    </w:p>
    <w:tbl>
      <w:tblPr>
        <w:tblStyle w:val="StilTablice"/>
        <w:tblW w:w="10206" w:type="dxa"/>
        <w:jc w:val="center"/>
        <w:tblLook w:val="04A0" w:firstRow="1" w:lastRow="0" w:firstColumn="1" w:lastColumn="0" w:noHBand="0" w:noVBand="1"/>
      </w:tblPr>
      <w:tblGrid>
        <w:gridCol w:w="1893"/>
        <w:gridCol w:w="1966"/>
        <w:gridCol w:w="1966"/>
        <w:gridCol w:w="1966"/>
        <w:gridCol w:w="1203"/>
        <w:gridCol w:w="1212"/>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3114-IZGRADNJA I ODRŽAVANJE ŽELJEZNIČKE INFRASTRUKTURE</w:t>
            </w:r>
          </w:p>
        </w:tc>
        <w:tc>
          <w:tcPr>
            <w:tcW w:w="2041" w:type="dxa"/>
          </w:tcPr>
          <w:p w:rsidR="00F244BA" w:rsidRDefault="00AC19E4">
            <w:pPr>
              <w:pStyle w:val="CellColumn"/>
              <w:jc w:val="right"/>
            </w:pPr>
            <w:r>
              <w:rPr>
                <w:rFonts w:cs="Times New Roman"/>
              </w:rPr>
              <w:t>147.066.239</w:t>
            </w:r>
          </w:p>
        </w:tc>
        <w:tc>
          <w:tcPr>
            <w:tcW w:w="2041" w:type="dxa"/>
          </w:tcPr>
          <w:p w:rsidR="00F244BA" w:rsidRDefault="00AC19E4">
            <w:pPr>
              <w:pStyle w:val="CellColumn"/>
              <w:jc w:val="right"/>
            </w:pPr>
            <w:r>
              <w:rPr>
                <w:rFonts w:cs="Times New Roman"/>
              </w:rPr>
              <w:t>259.380.970</w:t>
            </w:r>
          </w:p>
        </w:tc>
        <w:tc>
          <w:tcPr>
            <w:tcW w:w="2041" w:type="dxa"/>
          </w:tcPr>
          <w:p w:rsidR="00F244BA" w:rsidRDefault="00AC19E4">
            <w:pPr>
              <w:pStyle w:val="CellColumn"/>
              <w:jc w:val="right"/>
            </w:pPr>
            <w:r>
              <w:rPr>
                <w:rFonts w:cs="Times New Roman"/>
              </w:rPr>
              <w:t>258.442.443</w:t>
            </w:r>
          </w:p>
        </w:tc>
        <w:tc>
          <w:tcPr>
            <w:tcW w:w="1224" w:type="dxa"/>
          </w:tcPr>
          <w:p w:rsidR="00F244BA" w:rsidRDefault="00AC19E4">
            <w:pPr>
              <w:pStyle w:val="CellColumn"/>
              <w:jc w:val="right"/>
            </w:pPr>
            <w:r>
              <w:rPr>
                <w:rFonts w:cs="Times New Roman"/>
              </w:rPr>
              <w:t>99,6</w:t>
            </w:r>
          </w:p>
        </w:tc>
        <w:tc>
          <w:tcPr>
            <w:tcW w:w="1224" w:type="dxa"/>
          </w:tcPr>
          <w:p w:rsidR="00F244BA" w:rsidRDefault="00AC19E4">
            <w:pPr>
              <w:pStyle w:val="CellColumn"/>
              <w:jc w:val="right"/>
            </w:pPr>
            <w:r>
              <w:rPr>
                <w:rFonts w:cs="Times New Roman"/>
              </w:rPr>
              <w:t>175,7</w:t>
            </w:r>
          </w:p>
        </w:tc>
      </w:tr>
    </w:tbl>
    <w:p w:rsidR="00F244BA" w:rsidRDefault="00F244BA">
      <w:pPr>
        <w:jc w:val="left"/>
      </w:pPr>
    </w:p>
    <w:p w:rsidR="00F244BA" w:rsidRDefault="00AC19E4">
      <w:pPr>
        <w:pStyle w:val="Naslov8"/>
        <w:jc w:val="left"/>
      </w:pPr>
      <w:r>
        <w:t>Cilj 1. Razvijen sustav željezničkog prometa</w:t>
      </w:r>
    </w:p>
    <w:p w:rsidR="00F244BA" w:rsidRDefault="00AC19E4">
      <w:pPr>
        <w:pStyle w:val="Naslov8"/>
        <w:jc w:val="left"/>
      </w:pPr>
      <w:r>
        <w:t>Opis provedbe cilja programa</w:t>
      </w:r>
    </w:p>
    <w:p w:rsidR="00F244BA" w:rsidRDefault="00AC19E4">
      <w:r>
        <w:t xml:space="preserve">Sukladno Bijeloj knjizi Europske komisije od 12. rujna 2001. godine „Europska prometna politika za 2010.: vrijeme za odluku“ glavni ciljevi su jamčiti sigurne, učinkovite i visokokvalitetne usluge prijevoza putnika kroz uređeno tržišno natjecanje, osiguravajući transparentnost i obavljanje usluga javnog prijevoza putnika te uzimajući u obzir čimbenike društvenog razvoja, razvoja okoliša i regionalnog razvoja, odnosno ponuditi posebne tarifne uvjete pojedinim skupinama putnika što je sve obuhvaćeno Uredbom (EZ) br. 1370/2007 Europskog Parlamenta i Vijeća.  </w:t>
      </w:r>
    </w:p>
    <w:p w:rsidR="00F244BA" w:rsidRDefault="00AC19E4">
      <w:r>
        <w:lastRenderedPageBreak/>
        <w:t xml:space="preserve">Ovim programom se osigurava financiranje redovnih aktivnosti održavanja željezničke infrastrukture, reguliranje prometa i upravljanje željezničkom infrastrukturom te modernizacije željezničkih vozila i poticanja željezničkog putničkog prijevoza. Ovim programom se osigurava i potpora za pripremu i provedbu projekata sufinanciranih iz EU fondova (OPKK/PKK/NPOO/CEF projekata). Cilj programa Razvijen sustav željezničkog prometa obuhvaća povećanje sigurnosti, kvalitete i pouzdanosti željezničkog prometa te u sinergiji s programima obnove, modernizacije i izgradnje željezničkih pruga, brže uključivanje u jedinstveni Europski željeznički sustav. </w:t>
      </w:r>
    </w:p>
    <w:p w:rsidR="00F244BA" w:rsidRDefault="00AC19E4">
      <w:r>
        <w:t>Povećanje prosječnog zakašnjenja na 100 vlak km putničkih i teretnih vlakova u 2024. godini u odnosu na prethodnu godinu i ciljanu vrijednost rezultat je više čimbenika: kašnjenja zbog zatvora pruga i laganih vožnji uslijed radova na obnovi i modernizaciji pruga te čekanjem na sastav vlaka, lokomotivu i osoblje, dužom vožnjom zbog uvjeta vuče, te promjenama sastava na zahtjev željezničkih prijevoznika Vanjski čimbenici uključuju zakašnjeli dolazak vlakova iz drugih uprava, odbijanje prijema, zadržavanja od strane MUP-a i carinskih uprava te nepovoljne vremenske uvjete.</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Prosječno zakašnjenje putničkih vlakova na prijeđenih 100 km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Smanjenjem zakašnjenja putničkih vlakova povećava se kvaliteta usluge za krajnjeg korisnika</w:t>
            </w:r>
          </w:p>
        </w:tc>
        <w:tc>
          <w:tcPr>
            <w:tcW w:w="1020" w:type="dxa"/>
          </w:tcPr>
          <w:p w:rsidR="00F244BA" w:rsidRDefault="00AC19E4">
            <w:pPr>
              <w:pStyle w:val="CellColumn"/>
              <w:jc w:val="right"/>
            </w:pPr>
            <w:r>
              <w:rPr>
                <w:rFonts w:cs="Times New Roman"/>
              </w:rPr>
              <w:t>min</w:t>
            </w:r>
          </w:p>
        </w:tc>
        <w:tc>
          <w:tcPr>
            <w:tcW w:w="1020" w:type="dxa"/>
          </w:tcPr>
          <w:p w:rsidR="00F244BA" w:rsidRDefault="00AC19E4">
            <w:pPr>
              <w:pStyle w:val="CellColumn"/>
              <w:jc w:val="right"/>
            </w:pPr>
            <w:r>
              <w:rPr>
                <w:rFonts w:cs="Times New Roman"/>
              </w:rPr>
              <w:t>6</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6</w:t>
            </w:r>
          </w:p>
        </w:tc>
        <w:tc>
          <w:tcPr>
            <w:tcW w:w="1020" w:type="dxa"/>
          </w:tcPr>
          <w:p w:rsidR="00F244BA" w:rsidRDefault="00AC19E4">
            <w:pPr>
              <w:pStyle w:val="CellColumn"/>
              <w:jc w:val="right"/>
            </w:pPr>
            <w:r>
              <w:rPr>
                <w:rFonts w:cs="Times New Roman"/>
              </w:rPr>
              <w:t>7</w:t>
            </w:r>
          </w:p>
        </w:tc>
      </w:tr>
      <w:tr w:rsidR="00F244BA">
        <w:trPr>
          <w:jc w:val="center"/>
        </w:trPr>
        <w:tc>
          <w:tcPr>
            <w:tcW w:w="2551" w:type="dxa"/>
          </w:tcPr>
          <w:p w:rsidR="00F244BA" w:rsidRDefault="00AC19E4">
            <w:pPr>
              <w:pStyle w:val="CellColumn"/>
              <w:jc w:val="left"/>
            </w:pPr>
            <w:r>
              <w:rPr>
                <w:rFonts w:cs="Times New Roman"/>
              </w:rPr>
              <w:t xml:space="preserve">Prosječno zakašnjenje teretnih vlakova na prijeđenih 100 km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Smanjenjem zakašnjenja teretnih vlakova povećava se kvaliteta usluge za krajnjeg korisnika</w:t>
            </w:r>
          </w:p>
        </w:tc>
        <w:tc>
          <w:tcPr>
            <w:tcW w:w="1020" w:type="dxa"/>
          </w:tcPr>
          <w:p w:rsidR="00F244BA" w:rsidRDefault="00AC19E4">
            <w:pPr>
              <w:pStyle w:val="CellColumn"/>
              <w:jc w:val="right"/>
            </w:pPr>
            <w:r>
              <w:rPr>
                <w:rFonts w:cs="Times New Roman"/>
              </w:rPr>
              <w:t>min</w:t>
            </w:r>
          </w:p>
        </w:tc>
        <w:tc>
          <w:tcPr>
            <w:tcW w:w="1020" w:type="dxa"/>
          </w:tcPr>
          <w:p w:rsidR="00F244BA" w:rsidRDefault="00AC19E4">
            <w:pPr>
              <w:pStyle w:val="CellColumn"/>
              <w:jc w:val="right"/>
            </w:pPr>
            <w:r>
              <w:rPr>
                <w:rFonts w:cs="Times New Roman"/>
              </w:rPr>
              <w:t>210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162</w:t>
            </w:r>
          </w:p>
        </w:tc>
        <w:tc>
          <w:tcPr>
            <w:tcW w:w="1020" w:type="dxa"/>
          </w:tcPr>
          <w:p w:rsidR="00F244BA" w:rsidRDefault="00AC19E4">
            <w:pPr>
              <w:pStyle w:val="CellColumn"/>
              <w:jc w:val="right"/>
            </w:pPr>
            <w:r>
              <w:rPr>
                <w:rFonts w:cs="Times New Roman"/>
              </w:rPr>
              <w:t>212</w:t>
            </w:r>
          </w:p>
        </w:tc>
      </w:tr>
    </w:tbl>
    <w:p w:rsidR="00F244BA" w:rsidRDefault="00F244BA">
      <w:pPr>
        <w:jc w:val="left"/>
      </w:pPr>
    </w:p>
    <w:p w:rsidR="00F244BA" w:rsidRDefault="00AC19E4">
      <w:pPr>
        <w:pStyle w:val="Naslov4"/>
      </w:pPr>
      <w:r>
        <w:t>A754029 NAKNADA U CIJENI GORIVA ZA HŽ INFRASTRUKTURU D.O.O.</w:t>
      </w:r>
    </w:p>
    <w:tbl>
      <w:tblPr>
        <w:tblStyle w:val="StilTablice"/>
        <w:tblW w:w="10206" w:type="dxa"/>
        <w:jc w:val="center"/>
        <w:tblLook w:val="04A0" w:firstRow="1" w:lastRow="0" w:firstColumn="1" w:lastColumn="0" w:noHBand="0" w:noVBand="1"/>
      </w:tblPr>
      <w:tblGrid>
        <w:gridCol w:w="1915"/>
        <w:gridCol w:w="1958"/>
        <w:gridCol w:w="1959"/>
        <w:gridCol w:w="1959"/>
        <w:gridCol w:w="1203"/>
        <w:gridCol w:w="1212"/>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A754029-NAKNADA U CIJENI GORIVA ZA HŽ INFRASTRUKTURU D.O.O.</w:t>
            </w:r>
          </w:p>
        </w:tc>
        <w:tc>
          <w:tcPr>
            <w:tcW w:w="2041" w:type="dxa"/>
          </w:tcPr>
          <w:p w:rsidR="00F244BA" w:rsidRDefault="00AC19E4">
            <w:pPr>
              <w:pStyle w:val="CellColumn"/>
              <w:jc w:val="right"/>
            </w:pPr>
            <w:r>
              <w:rPr>
                <w:rFonts w:cs="Times New Roman"/>
              </w:rPr>
              <w:t>77.734.422</w:t>
            </w:r>
          </w:p>
        </w:tc>
        <w:tc>
          <w:tcPr>
            <w:tcW w:w="2041" w:type="dxa"/>
          </w:tcPr>
          <w:p w:rsidR="00F244BA" w:rsidRDefault="00AC19E4">
            <w:pPr>
              <w:pStyle w:val="CellColumn"/>
              <w:jc w:val="right"/>
            </w:pPr>
            <w:r>
              <w:rPr>
                <w:rFonts w:cs="Times New Roman"/>
              </w:rPr>
              <w:t>78.000.000</w:t>
            </w:r>
          </w:p>
        </w:tc>
        <w:tc>
          <w:tcPr>
            <w:tcW w:w="2041" w:type="dxa"/>
          </w:tcPr>
          <w:p w:rsidR="00F244BA" w:rsidRDefault="00AC19E4">
            <w:pPr>
              <w:pStyle w:val="CellColumn"/>
              <w:jc w:val="right"/>
            </w:pPr>
            <w:r>
              <w:rPr>
                <w:rFonts w:cs="Times New Roman"/>
              </w:rPr>
              <w:t>78.000.000</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100,3</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Nacionalni program željezničke infrastrukture za razdoblje od 2016. do 2020. godine   </w:t>
      </w:r>
    </w:p>
    <w:p w:rsidR="00F244BA" w:rsidRDefault="00AC19E4">
      <w:r>
        <w:t>˗</w:t>
      </w:r>
      <w:r>
        <w:tab/>
        <w:t>Zakon o potvrđivanju Ugovora o jamstvu između Republike hrvatske i Europske banke za obnovu i razvoj za "Projekt modernizacije HŽ Infrastrukture" -EBRD (Br. 44467)</w:t>
      </w:r>
    </w:p>
    <w:p w:rsidR="00F244BA" w:rsidRDefault="00AC19E4">
      <w:pPr>
        <w:pStyle w:val="Naslov8"/>
        <w:jc w:val="left"/>
      </w:pPr>
      <w:r>
        <w:t>Opis aktivnosti</w:t>
      </w:r>
    </w:p>
    <w:p w:rsidR="00F244BA" w:rsidRDefault="00AC19E4">
      <w:r>
        <w:t xml:space="preserve">Sukladno odredbama Zakona o željeznici, sredstva ostvarena naknadom po litri naplaćene trošarine na energente u 2024. godini doznačena su društvu HŽ INFRASTRUKTURA d.o.o. u ukupnom iznosu od 78.000.000 €, a korištena su za sljedeće namjene: </w:t>
      </w:r>
    </w:p>
    <w:p w:rsidR="00F244BA" w:rsidRDefault="00AC19E4">
      <w:r>
        <w:t>1.</w:t>
      </w:r>
      <w:r>
        <w:tab/>
        <w:t xml:space="preserve">održavanje željezničke infrastrukture u iznosu od 63.363.966,16 E€, utrošeno je za: </w:t>
      </w:r>
    </w:p>
    <w:p w:rsidR="00F244BA" w:rsidRDefault="00AC19E4">
      <w:r>
        <w:t>˗</w:t>
      </w:r>
      <w:r>
        <w:tab/>
        <w:t xml:space="preserve">podmirenje obveza prema dobavljačima u iznosu od 20.282.924,46 € </w:t>
      </w:r>
    </w:p>
    <w:p w:rsidR="00F244BA" w:rsidRDefault="00AC19E4">
      <w:r>
        <w:lastRenderedPageBreak/>
        <w:t>˗</w:t>
      </w:r>
      <w:r>
        <w:tab/>
        <w:t xml:space="preserve">troškove radnika koji obuhvaćaju plaće, naknade za prijevoz, jednokratne dodatke i ostala materijalna prava temeljem važećeg Kolektivnog ugovora HŽ Infrastrukture d.o.o. u iznosu od 43.081.041,70 €. </w:t>
      </w:r>
    </w:p>
    <w:p w:rsidR="00F244BA" w:rsidRDefault="00AC19E4">
      <w:r>
        <w:t xml:space="preserve"> </w:t>
      </w:r>
    </w:p>
    <w:p w:rsidR="00F244BA" w:rsidRDefault="00AC19E4">
      <w:r>
        <w:t>2.</w:t>
      </w:r>
      <w:r>
        <w:tab/>
        <w:t xml:space="preserve">upravljanje društvom HŽ INFRASTRUKTURA d.o.o.  u iznosu od 14.636.033,84 €, utrošeno je za:  </w:t>
      </w:r>
    </w:p>
    <w:p w:rsidR="00F244BA" w:rsidRDefault="00AC19E4">
      <w:r>
        <w:t>˗</w:t>
      </w:r>
      <w:r>
        <w:tab/>
        <w:t xml:space="preserve">podmirenje obveza prema dobavljačima u iznosu od 4.343.131,35 € </w:t>
      </w:r>
    </w:p>
    <w:p w:rsidR="00F244BA" w:rsidRDefault="00AC19E4">
      <w:r>
        <w:t>˗</w:t>
      </w:r>
      <w:r>
        <w:tab/>
        <w:t xml:space="preserve">troškove radnika koji obuhvaćaju plaće, naknade za prijevoz, jednokratne dodatke i ostala materijalna prava temeljem važećeg Kolektivnog ugovora HŽ Infrastrukture d.o.o. u iznosu od 10.292.902,49 €. </w:t>
      </w:r>
    </w:p>
    <w:p w:rsidR="00F244BA" w:rsidRDefault="00AC19E4">
      <w:r>
        <w:t xml:space="preserve"> </w:t>
      </w:r>
    </w:p>
    <w:p w:rsidR="00F244BA" w:rsidRDefault="00AC19E4">
      <w:r>
        <w:t xml:space="preserve">Tijekom 2024. godine društvo HŽ INFRASTRUKTURA d.o.o. upravljalo je s 2.617 kilometara pruge, 548 mostova, 113 tunela, 564 službenih mjesta i 1.448 željezničko-cestovnih prijelaza te provodila opsežne aktivnosti na održavanju tehničko-tehnološke razine kapaciteta željezničke mreže s ciljem povećanja razine kvalitete i sigurnosti željezničkog prometa. </w:t>
      </w:r>
    </w:p>
    <w:p w:rsidR="00F244BA" w:rsidRDefault="00AC19E4">
      <w:r>
        <w:t>Značajno pozitivno odstupanje ostvarene u odnosu na ciljanu vrijednost rezultat je promjene metodologije izračuna pokazatelja obnove i modernizacije pruga. Dok se pri izračunu ciljane vrijednosti broj obnovljenih i moderniziranih kilometara računao prema dionicama na kojima je završen tehnički pregled, ostvareni broj kilometara u 2024. godini temelji se na dionicama za koje su radovi evidentirani upisom u građevinski dnevnik. Ova promjena metodologije omogućava preciznije praćenje stvarnog napretka radova.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kilometara obnovljenih i moderniziranih pruga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Povećanjem broja km obnovljenih i moderniziranih postiže se viša razina usluge željezničke infrastrukture</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75,98</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57,88</w:t>
            </w:r>
          </w:p>
        </w:tc>
        <w:tc>
          <w:tcPr>
            <w:tcW w:w="1020" w:type="dxa"/>
          </w:tcPr>
          <w:p w:rsidR="00F244BA" w:rsidRDefault="00AC19E4">
            <w:pPr>
              <w:pStyle w:val="CellColumn"/>
              <w:jc w:val="right"/>
            </w:pPr>
            <w:r>
              <w:rPr>
                <w:rFonts w:cs="Times New Roman"/>
              </w:rPr>
              <w:t>160,02</w:t>
            </w:r>
          </w:p>
        </w:tc>
      </w:tr>
    </w:tbl>
    <w:p w:rsidR="00F244BA" w:rsidRDefault="00F244BA">
      <w:pPr>
        <w:jc w:val="left"/>
      </w:pPr>
    </w:p>
    <w:p w:rsidR="00F244BA" w:rsidRDefault="00AC19E4">
      <w:pPr>
        <w:pStyle w:val="Naslov4"/>
      </w:pPr>
      <w:r>
        <w:t>A820082 FINANCIRANJE I SUFINANCIRANJE GRAĐENJA, MODERNIZACIJE I OBNOVE ŽELJEZNIČKE INFRASTRUKTURE</w:t>
      </w:r>
    </w:p>
    <w:tbl>
      <w:tblPr>
        <w:tblStyle w:val="StilTablice"/>
        <w:tblW w:w="10206" w:type="dxa"/>
        <w:jc w:val="center"/>
        <w:tblLook w:val="04A0" w:firstRow="1" w:lastRow="0" w:firstColumn="1" w:lastColumn="0" w:noHBand="0" w:noVBand="1"/>
      </w:tblPr>
      <w:tblGrid>
        <w:gridCol w:w="1892"/>
        <w:gridCol w:w="1960"/>
        <w:gridCol w:w="1969"/>
        <w:gridCol w:w="1969"/>
        <w:gridCol w:w="1204"/>
        <w:gridCol w:w="1212"/>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A820082-FINANCIRANJE I SUFINANCIRANJE GRAĐENJA, MODERNIZACIJE I OBNOVE ŽELJEZNIČKE INFRASTRUKTURE</w:t>
            </w:r>
          </w:p>
        </w:tc>
        <w:tc>
          <w:tcPr>
            <w:tcW w:w="2041" w:type="dxa"/>
          </w:tcPr>
          <w:p w:rsidR="00F244BA" w:rsidRDefault="00AC19E4">
            <w:pPr>
              <w:pStyle w:val="CellColumn"/>
              <w:jc w:val="right"/>
            </w:pPr>
            <w:r>
              <w:rPr>
                <w:rFonts w:cs="Times New Roman"/>
              </w:rPr>
              <w:t>24.137.453</w:t>
            </w:r>
          </w:p>
        </w:tc>
        <w:tc>
          <w:tcPr>
            <w:tcW w:w="2041" w:type="dxa"/>
          </w:tcPr>
          <w:p w:rsidR="00F244BA" w:rsidRDefault="00AC19E4">
            <w:pPr>
              <w:pStyle w:val="CellColumn"/>
              <w:jc w:val="right"/>
            </w:pPr>
            <w:r>
              <w:rPr>
                <w:rFonts w:cs="Times New Roman"/>
              </w:rPr>
              <w:t>127.490.474</w:t>
            </w:r>
          </w:p>
        </w:tc>
        <w:tc>
          <w:tcPr>
            <w:tcW w:w="2041" w:type="dxa"/>
          </w:tcPr>
          <w:p w:rsidR="00F244BA" w:rsidRDefault="00AC19E4">
            <w:pPr>
              <w:pStyle w:val="CellColumn"/>
              <w:jc w:val="right"/>
            </w:pPr>
            <w:r>
              <w:rPr>
                <w:rFonts w:cs="Times New Roman"/>
              </w:rPr>
              <w:t>127.479.449</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528,1</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lastRenderedPageBreak/>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 xml:space="preserve">Program rješavanja željezničko-cestovnih i pješačkih prijelaza preko pruge za razdoblje od 2023. do 2027. godine </w:t>
      </w:r>
    </w:p>
    <w:p w:rsidR="00F244BA" w:rsidRDefault="00AC19E4">
      <w:r>
        <w:t>˗</w:t>
      </w:r>
      <w:r>
        <w:tab/>
        <w:t>Zakon o potvrđivanju Ugovora o financiranju između Republike Hrvatske i Europske investicijske banke za projekt „Revitalizacija željezničkog sustava Republike Hrvatske“ iz okvirnog zajma-EIB (Fi No. 95.797)</w:t>
      </w:r>
    </w:p>
    <w:p w:rsidR="00F244BA" w:rsidRDefault="00AC19E4">
      <w:pPr>
        <w:pStyle w:val="Naslov8"/>
        <w:jc w:val="left"/>
      </w:pPr>
      <w:r>
        <w:t>Opis aktivnosti</w:t>
      </w:r>
    </w:p>
    <w:p w:rsidR="00F244BA" w:rsidRDefault="00AC19E4">
      <w:r>
        <w:t xml:space="preserve">Tijekom 2024. godine doznačena su proračunska sredstva društvu HŽ INFRASTRUKTURA d.o.o. u ukupnom iznosu od 127.490.474 €, od čega se na izvor 11 odnosi 44.229.449,02 €, a na izvor 810 83.250.000 €.  </w:t>
      </w:r>
    </w:p>
    <w:p w:rsidR="00F244BA" w:rsidRDefault="00AC19E4">
      <w:r>
        <w:t xml:space="preserve">Sredstva osigurana na izvoru 11-Opći prihodi i primici u iznosu od 44.229.449,02 € utrošena su za sljedeće namjene: </w:t>
      </w:r>
    </w:p>
    <w:p w:rsidR="00F244BA" w:rsidRDefault="00AC19E4">
      <w:r>
        <w:t>˗</w:t>
      </w:r>
      <w:r>
        <w:tab/>
        <w:t xml:space="preserve">troškove radnika područja Razvoja željezničke infrastrukture, pripreme i provedbe investicija u željezničku infrastrukturu (plaće, naknade za prijevoz za dolazak na posao i povratak s posla, regres, božićnica, uskrsnica, nagrada za vjernost društvu, otpremnine i druga materijalna prava radnika) u ukupnom iznosu 3.468.690,31 € </w:t>
      </w:r>
    </w:p>
    <w:p w:rsidR="00F244BA" w:rsidRDefault="00AC19E4">
      <w:r>
        <w:t>˗</w:t>
      </w:r>
      <w:r>
        <w:tab/>
        <w:t xml:space="preserve">troškove provedbe programa obnove i modernizacije pruga za lokalni, regionalni i međunarodni promet, program obnove i modernizacije željezničkog čvorišta Zagreb, programa aktivnosti u funkciji infrastrukture i prometa na mreži kao cjelini kao i izgradnje novih pruga i kolosijeka te za Projekt „Rekonstrukcija postojećeg i izgradnja drugog kolosijeka na dionici Hrvatski Leskovac-Karlovac na željezničkoj pruzi M202 Zagreb GK-Rijeka“ (mosno financiranje) u ukupnom iznosu od 40.760.758,71 € i to za: </w:t>
      </w:r>
    </w:p>
    <w:p w:rsidR="00F244BA" w:rsidRDefault="00AC19E4">
      <w:r>
        <w:t>˗</w:t>
      </w:r>
      <w:r>
        <w:tab/>
        <w:t xml:space="preserve">izvođenje radova na projektima </w:t>
      </w:r>
    </w:p>
    <w:p w:rsidR="00F244BA" w:rsidRDefault="00AC19E4">
      <w:r>
        <w:t>˗</w:t>
      </w:r>
      <w:r>
        <w:tab/>
        <w:t xml:space="preserve">uslugu nadzora nad izvođenjem radova na projektima </w:t>
      </w:r>
    </w:p>
    <w:p w:rsidR="00F244BA" w:rsidRDefault="00AC19E4">
      <w:r>
        <w:t>˗</w:t>
      </w:r>
      <w:r>
        <w:tab/>
        <w:t xml:space="preserve">projektantski nadzor </w:t>
      </w:r>
    </w:p>
    <w:p w:rsidR="00F244BA" w:rsidRDefault="00AC19E4">
      <w:r>
        <w:t>˗</w:t>
      </w:r>
      <w:r>
        <w:tab/>
        <w:t xml:space="preserve">izradu studijske/tehničke dokumentacije </w:t>
      </w:r>
    </w:p>
    <w:p w:rsidR="00F244BA" w:rsidRDefault="00AC19E4">
      <w:r>
        <w:t>˗</w:t>
      </w:r>
      <w:r>
        <w:tab/>
        <w:t xml:space="preserve">tehnički pregled </w:t>
      </w:r>
    </w:p>
    <w:p w:rsidR="00F244BA" w:rsidRDefault="00AC19E4">
      <w:r>
        <w:t>˗</w:t>
      </w:r>
      <w:r>
        <w:tab/>
        <w:t xml:space="preserve">ishođenje suglasnosti javnopravnih tijela </w:t>
      </w:r>
    </w:p>
    <w:p w:rsidR="00F244BA" w:rsidRDefault="00AC19E4">
      <w:r>
        <w:t>˗</w:t>
      </w:r>
      <w:r>
        <w:tab/>
        <w:t xml:space="preserve">kupnju tucanika, pragova, tračnica </w:t>
      </w:r>
    </w:p>
    <w:p w:rsidR="00F244BA" w:rsidRDefault="00AC19E4">
      <w:r>
        <w:t>˗</w:t>
      </w:r>
      <w:r>
        <w:tab/>
        <w:t xml:space="preserve">kupnju robe (građevinskih alata, uređaja za komplet za daljinsko mjerenje, termo peć, akumulatora, raznih kablova za napajanje, ispravljača napona, baterija i sl.) </w:t>
      </w:r>
    </w:p>
    <w:p w:rsidR="00F244BA" w:rsidRDefault="00AC19E4">
      <w:r>
        <w:t>˗</w:t>
      </w:r>
      <w:r>
        <w:tab/>
        <w:t xml:space="preserve">uslugu mjerenja i utvrđivanja indeksa razumljivosti govora </w:t>
      </w:r>
    </w:p>
    <w:p w:rsidR="00F244BA" w:rsidRDefault="00AC19E4">
      <w:r>
        <w:t>˗</w:t>
      </w:r>
      <w:r>
        <w:tab/>
        <w:t xml:space="preserve">uslugu ocjene sukladnosti građevinskog infrastrukturnog podsustava sa TSI od strane prijavljenog tijela NoBo </w:t>
      </w:r>
    </w:p>
    <w:p w:rsidR="00F244BA" w:rsidRDefault="00AC19E4">
      <w:r>
        <w:t>˗</w:t>
      </w:r>
      <w:r>
        <w:tab/>
        <w:t xml:space="preserve">uslugu usklađenosti građevinskog podsustava s nacionalnim pravilima od strane imenovanog tijela DeBo </w:t>
      </w:r>
    </w:p>
    <w:p w:rsidR="00F244BA" w:rsidRDefault="00AC19E4">
      <w:r>
        <w:t>˗</w:t>
      </w:r>
      <w:r>
        <w:tab/>
        <w:t xml:space="preserve">popravke relejnih grupa </w:t>
      </w:r>
    </w:p>
    <w:p w:rsidR="00F244BA" w:rsidRDefault="00AC19E4">
      <w:r>
        <w:t>˗</w:t>
      </w:r>
      <w:r>
        <w:tab/>
        <w:t xml:space="preserve">rješavanje imovinsko-pravnih odnosa </w:t>
      </w:r>
    </w:p>
    <w:p w:rsidR="00F244BA" w:rsidRDefault="00AC19E4">
      <w:r>
        <w:t>˗</w:t>
      </w:r>
      <w:r>
        <w:tab/>
        <w:t xml:space="preserve">usluge koordinatora II </w:t>
      </w:r>
    </w:p>
    <w:p w:rsidR="00F244BA" w:rsidRDefault="00AC19E4">
      <w:r>
        <w:t>˗</w:t>
      </w:r>
      <w:r>
        <w:tab/>
        <w:t xml:space="preserve">naknade za priključenja na HEP </w:t>
      </w:r>
    </w:p>
    <w:p w:rsidR="00F244BA" w:rsidRDefault="00AC19E4">
      <w:r>
        <w:t>˗</w:t>
      </w:r>
      <w:r>
        <w:tab/>
        <w:t xml:space="preserve">javnobilježničke usluge </w:t>
      </w:r>
    </w:p>
    <w:p w:rsidR="00F244BA" w:rsidRDefault="00AC19E4">
      <w:r>
        <w:t>˗</w:t>
      </w:r>
      <w:r>
        <w:tab/>
        <w:t xml:space="preserve">troškove vještačenja </w:t>
      </w:r>
    </w:p>
    <w:p w:rsidR="00F244BA" w:rsidRDefault="00AC19E4">
      <w:r>
        <w:t>˗</w:t>
      </w:r>
      <w:r>
        <w:tab/>
        <w:t xml:space="preserve">troškove pristojbi </w:t>
      </w:r>
    </w:p>
    <w:p w:rsidR="00F244BA" w:rsidRDefault="00AC19E4">
      <w:r>
        <w:t>˗</w:t>
      </w:r>
      <w:r>
        <w:tab/>
        <w:t xml:space="preserve">komunalne i vodne doprinose i ostalo. </w:t>
      </w:r>
    </w:p>
    <w:p w:rsidR="00F244BA" w:rsidRDefault="00AC19E4">
      <w:r>
        <w:t xml:space="preserve">Sredstva osigurana na izvoru 810-Namjenski primici u okviru provedbe projekta „Revitalizacija željezničkog sustava Republike Hrvatske“ iz okvirnog zajma EIB-a, u visini od 83.250.000 € utrošena su po projektima kako slijedi: </w:t>
      </w:r>
    </w:p>
    <w:p w:rsidR="00F244BA" w:rsidRDefault="00AC19E4">
      <w:r>
        <w:t>1.</w:t>
      </w:r>
      <w:r>
        <w:tab/>
        <w:t xml:space="preserve">Obnova dionica Donji Kraljevec-Kotoriba (11,6 km), Kotoriba-DG (3,8km) i DG-Čakovec (8,4km) na pruzi M501 DG-Čakovec-Kotoriba-DG-4.360.563,12 € </w:t>
      </w:r>
    </w:p>
    <w:p w:rsidR="00F244BA" w:rsidRDefault="00AC19E4">
      <w:r>
        <w:lastRenderedPageBreak/>
        <w:t>2.</w:t>
      </w:r>
      <w:r>
        <w:tab/>
        <w:t xml:space="preserve">Rekonstrukcija postojećeg i izgradnja drugog kolosijeka željezničke pruge na dionici pruge Dugo Selo -Križevci-5.385.036,62 € </w:t>
      </w:r>
    </w:p>
    <w:p w:rsidR="00F244BA" w:rsidRDefault="00AC19E4">
      <w:r>
        <w:t>3.</w:t>
      </w:r>
      <w:r>
        <w:tab/>
        <w:t xml:space="preserve">Obnova dionice Generalski Stol-(Oštarije) (21,4 km), na pruzi Zagreb Gk -Rijeka-794.150,87 € </w:t>
      </w:r>
    </w:p>
    <w:p w:rsidR="00F244BA" w:rsidRDefault="00AC19E4">
      <w:r>
        <w:t>4.</w:t>
      </w:r>
      <w:r>
        <w:tab/>
        <w:t xml:space="preserve">Sanacija kolosijeka na dionici Karlovac -Ozalj-555.615,22 € </w:t>
      </w:r>
    </w:p>
    <w:p w:rsidR="00F244BA" w:rsidRDefault="00AC19E4">
      <w:r>
        <w:t>5.</w:t>
      </w:r>
      <w:r>
        <w:tab/>
        <w:t xml:space="preserve">Obnova pruge M606 Knin-Zadar (73 km)-10.456.679,79 € </w:t>
      </w:r>
    </w:p>
    <w:p w:rsidR="00F244BA" w:rsidRDefault="00AC19E4">
      <w:r>
        <w:t>6.</w:t>
      </w:r>
      <w:r>
        <w:tab/>
        <w:t xml:space="preserve">Rekonstrukcija postojećeg i izgradnja drugog kolosijeka željezničke pruge na dionici Križevci-Koprivnica-DG-38.768.434,75 € </w:t>
      </w:r>
    </w:p>
    <w:p w:rsidR="00F244BA" w:rsidRDefault="00AC19E4">
      <w:r>
        <w:t>7.</w:t>
      </w:r>
      <w:r>
        <w:tab/>
        <w:t xml:space="preserve">Obnova dionice Kutina- Deanovec (36,43 km), na pruzi M103 Dugo Selo-Novska-3.823.553,08 € </w:t>
      </w:r>
    </w:p>
    <w:p w:rsidR="00F244BA" w:rsidRDefault="00AC19E4">
      <w:r>
        <w:t>8.</w:t>
      </w:r>
      <w:r>
        <w:tab/>
        <w:t xml:space="preserve">Nabava rezervnih dijelova i opreme za potrebe održavanja-729.995,61 € </w:t>
      </w:r>
    </w:p>
    <w:p w:rsidR="00F244BA" w:rsidRDefault="00AC19E4">
      <w:r>
        <w:t>9.</w:t>
      </w:r>
      <w:r>
        <w:tab/>
        <w:t xml:space="preserve">Nabava strateškog materijala za potrebe podizanja brzine na prugama-4.575.260,22 € </w:t>
      </w:r>
    </w:p>
    <w:p w:rsidR="00F244BA" w:rsidRDefault="00AC19E4">
      <w:r>
        <w:t>10.</w:t>
      </w:r>
      <w:r>
        <w:tab/>
        <w:t xml:space="preserve">Obnova dionice Ogulin-(Moravice) (29,4 km), na pruzi Zagreb Gk -Rijeka-501.673,27 € </w:t>
      </w:r>
    </w:p>
    <w:p w:rsidR="00F244BA" w:rsidRDefault="00AC19E4">
      <w:r>
        <w:t>11.</w:t>
      </w:r>
      <w:r>
        <w:tab/>
        <w:t xml:space="preserve">Modernizacija i obnova SS uređaja pruge Oštarije -Knin -1.288.261,75 € </w:t>
      </w:r>
    </w:p>
    <w:p w:rsidR="00F244BA" w:rsidRDefault="00AC19E4">
      <w:r>
        <w:t>12.</w:t>
      </w:r>
      <w:r>
        <w:tab/>
        <w:t xml:space="preserve">Obnova dionice Pitomača-Kloštar (8,5 km) na pruzi R202 Varaždin-Dalj -12.010.775,70 € </w:t>
      </w:r>
    </w:p>
    <w:p w:rsidR="00F244BA" w:rsidRDefault="00AC19E4">
      <w:r>
        <w:t xml:space="preserve">Navedena sredstva utrošena su za: </w:t>
      </w:r>
    </w:p>
    <w:p w:rsidR="00F244BA" w:rsidRDefault="00AC19E4">
      <w:r>
        <w:t xml:space="preserve">- troškove provedbe programa obnove i modernizacije pruga za lokalni, regionalni i međunarodni promet, program obnove i modernizacije željezničkog čvorišta Zagreb, troškove programa aktivnosti u funkciji infrastrukture i prometa na mreži kao cjelini i za izgradnju novih pruga i kolosijeka odnosno za: </w:t>
      </w:r>
    </w:p>
    <w:p w:rsidR="00F244BA" w:rsidRDefault="00AC19E4">
      <w:r>
        <w:t>˗</w:t>
      </w:r>
      <w:r>
        <w:tab/>
        <w:t xml:space="preserve">kupnju rezervnih dijelova i opreme za održavanje (popravak relejnih grupa, agregat, skela, ISSA uređaj za sekundarno ispitivanje zaštite, ispitivanje na transformatorima elektro vuče) </w:t>
      </w:r>
    </w:p>
    <w:p w:rsidR="00F244BA" w:rsidRDefault="00AC19E4">
      <w:r>
        <w:t>˗</w:t>
      </w:r>
      <w:r>
        <w:tab/>
        <w:t xml:space="preserve">izvođenje radova na projektima </w:t>
      </w:r>
    </w:p>
    <w:p w:rsidR="00F244BA" w:rsidRDefault="00AC19E4">
      <w:r>
        <w:t>˗</w:t>
      </w:r>
      <w:r>
        <w:tab/>
        <w:t xml:space="preserve">usluge nadzora nad izvođenjem radova </w:t>
      </w:r>
    </w:p>
    <w:p w:rsidR="00F244BA" w:rsidRDefault="00AC19E4">
      <w:r>
        <w:t>˗</w:t>
      </w:r>
      <w:r>
        <w:tab/>
        <w:t xml:space="preserve">financiranje utvrđene razlike u cijeni radova na projektu </w:t>
      </w:r>
    </w:p>
    <w:p w:rsidR="00F244BA" w:rsidRDefault="00AC19E4">
      <w:r>
        <w:t>˗</w:t>
      </w:r>
      <w:r>
        <w:tab/>
        <w:t xml:space="preserve">kupnju materijala (tucanik, ploča podložna za tračnicu, kolosiječni pribor, spojnica, pritiskalica elastična, vijak za drveni prag, vijak pričvrsni oblika „T“ s maticom, podlošci sintetički podtračnički, tračnice i sl.) </w:t>
      </w:r>
    </w:p>
    <w:p w:rsidR="00F244BA" w:rsidRDefault="00AC19E4">
      <w:r>
        <w:t>˗</w:t>
      </w:r>
      <w:r>
        <w:tab/>
        <w:t xml:space="preserve">isplate zadržanog iznosa </w:t>
      </w:r>
    </w:p>
    <w:p w:rsidR="00F244BA" w:rsidRDefault="00AC19E4">
      <w:r>
        <w:t>˗</w:t>
      </w:r>
      <w:r>
        <w:tab/>
        <w:t xml:space="preserve">usluge kontrole kvalitete zavara </w:t>
      </w:r>
    </w:p>
    <w:p w:rsidR="00F244BA" w:rsidRDefault="00AC19E4">
      <w:r>
        <w:t>˗</w:t>
      </w:r>
      <w:r>
        <w:tab/>
        <w:t xml:space="preserve">potrošnja električne energije </w:t>
      </w:r>
    </w:p>
    <w:p w:rsidR="00F244BA" w:rsidRDefault="00AC19E4">
      <w:r>
        <w:t>˗</w:t>
      </w:r>
      <w:r>
        <w:tab/>
        <w:t xml:space="preserve">popravci i servisiranja uređaja </w:t>
      </w:r>
    </w:p>
    <w:p w:rsidR="00F244BA" w:rsidRDefault="00AC19E4">
      <w:r>
        <w:t>˗</w:t>
      </w:r>
      <w:r>
        <w:tab/>
        <w:t xml:space="preserve">rješavanje imovinsko-pravnih odnosa </w:t>
      </w:r>
    </w:p>
    <w:p w:rsidR="00F244BA" w:rsidRDefault="00AC19E4">
      <w:r>
        <w:t>˗</w:t>
      </w:r>
      <w:r>
        <w:tab/>
        <w:t xml:space="preserve">troškove vještačenja </w:t>
      </w:r>
    </w:p>
    <w:p w:rsidR="00F244BA" w:rsidRDefault="00AC19E4">
      <w:r>
        <w:t>˗</w:t>
      </w:r>
      <w:r>
        <w:tab/>
        <w:t xml:space="preserve">troškove pristojbi </w:t>
      </w:r>
    </w:p>
    <w:p w:rsidR="00F244BA" w:rsidRDefault="00AC19E4">
      <w:r>
        <w:t>˗</w:t>
      </w:r>
      <w:r>
        <w:tab/>
        <w:t xml:space="preserve">javnobilježničke i odvjetničke usluge </w:t>
      </w:r>
    </w:p>
    <w:p w:rsidR="00F244BA" w:rsidRDefault="00AC19E4">
      <w:r>
        <w:t>˗</w:t>
      </w:r>
      <w:r>
        <w:tab/>
        <w:t>promidžbu i vidljivost na projektu i dr.</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završenih projekata (godišnja vrijednost)</w:t>
            </w:r>
          </w:p>
        </w:tc>
        <w:tc>
          <w:tcPr>
            <w:tcW w:w="2551" w:type="dxa"/>
          </w:tcPr>
          <w:p w:rsidR="00F244BA" w:rsidRDefault="00AC19E4">
            <w:pPr>
              <w:pStyle w:val="CellColumn"/>
              <w:jc w:val="left"/>
            </w:pPr>
            <w:r>
              <w:rPr>
                <w:rFonts w:cs="Times New Roman"/>
              </w:rPr>
              <w:t>Broj završenih projekata za modernizaciju, rekonstrukciju i izgradnju željezničke pruge i unaprjeđenje željezničke infrastrukture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10</w:t>
            </w:r>
          </w:p>
        </w:tc>
      </w:tr>
    </w:tbl>
    <w:p w:rsidR="00F244BA" w:rsidRDefault="00F244BA">
      <w:pPr>
        <w:jc w:val="left"/>
      </w:pPr>
    </w:p>
    <w:p w:rsidR="00F244BA" w:rsidRDefault="00AC19E4">
      <w:pPr>
        <w:pStyle w:val="Naslov4"/>
      </w:pPr>
      <w:r>
        <w:lastRenderedPageBreak/>
        <w:t>T754034 POTPORA TRGOVAČKIM DRUŠTVIMA U JAVNOM SEKTORU U PRIPREMI I PROVEDBI PROJEKATA PLANIRANIH ZA SUFINANCIRANJE IZ EU FONDOVA</w:t>
      </w:r>
    </w:p>
    <w:tbl>
      <w:tblPr>
        <w:tblStyle w:val="StilTablice"/>
        <w:tblW w:w="10206" w:type="dxa"/>
        <w:jc w:val="center"/>
        <w:tblLook w:val="04A0" w:firstRow="1" w:lastRow="0" w:firstColumn="1" w:lastColumn="0" w:noHBand="0" w:noVBand="1"/>
      </w:tblPr>
      <w:tblGrid>
        <w:gridCol w:w="1804"/>
        <w:gridCol w:w="1991"/>
        <w:gridCol w:w="1991"/>
        <w:gridCol w:w="1991"/>
        <w:gridCol w:w="1212"/>
        <w:gridCol w:w="1217"/>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T754034-POTPORA TRGOVAČKIM DRUŠTVIMA U JAVNOM SEKTORU U PRIPREMI I PROVEDBI PROJEKATA PLANIRANIH ZA SUFINANCIRANJE IZ EU FONDOVA</w:t>
            </w:r>
          </w:p>
        </w:tc>
        <w:tc>
          <w:tcPr>
            <w:tcW w:w="2041" w:type="dxa"/>
          </w:tcPr>
          <w:p w:rsidR="00F244BA" w:rsidRDefault="00AC19E4">
            <w:pPr>
              <w:pStyle w:val="CellColumn"/>
              <w:jc w:val="right"/>
            </w:pPr>
            <w:r>
              <w:rPr>
                <w:rFonts w:cs="Times New Roman"/>
              </w:rPr>
              <w:t>6.328.925</w:t>
            </w:r>
          </w:p>
        </w:tc>
        <w:tc>
          <w:tcPr>
            <w:tcW w:w="2041" w:type="dxa"/>
          </w:tcPr>
          <w:p w:rsidR="00F244BA" w:rsidRDefault="00AC19E4">
            <w:pPr>
              <w:pStyle w:val="CellColumn"/>
              <w:jc w:val="right"/>
            </w:pPr>
            <w:r>
              <w:rPr>
                <w:rFonts w:cs="Times New Roman"/>
              </w:rPr>
              <w:t>7.777.994</w:t>
            </w:r>
          </w:p>
        </w:tc>
        <w:tc>
          <w:tcPr>
            <w:tcW w:w="2041" w:type="dxa"/>
          </w:tcPr>
          <w:p w:rsidR="00F244BA" w:rsidRDefault="00AC19E4">
            <w:pPr>
              <w:pStyle w:val="CellColumn"/>
              <w:jc w:val="right"/>
            </w:pPr>
            <w:r>
              <w:rPr>
                <w:rFonts w:cs="Times New Roman"/>
              </w:rPr>
              <w:t>7.777.994</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122,9</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Nacionalni program reformi (NPR 2020.) </w:t>
      </w:r>
    </w:p>
    <w:p w:rsidR="00F244BA" w:rsidRDefault="00AC19E4">
      <w:r>
        <w:t>˗</w:t>
      </w:r>
      <w:r>
        <w:tab/>
        <w:t xml:space="preserve">Operativni program Konkurentnost i kohezija 2014.-2020. (OPKK) </w:t>
      </w:r>
    </w:p>
    <w:p w:rsidR="00F244BA" w:rsidRDefault="00AC19E4">
      <w:r>
        <w:t>˗</w:t>
      </w:r>
      <w:r>
        <w:tab/>
        <w:t xml:space="preserve">Program Konkurentnost i kohezija 2021.-2027. (PKK) </w:t>
      </w:r>
    </w:p>
    <w:p w:rsidR="00F244BA" w:rsidRDefault="00AC19E4">
      <w:r>
        <w:t>˗</w:t>
      </w:r>
      <w:r>
        <w:tab/>
        <w:t xml:space="preserve">Nacionalni plan oporavka i otpornosti 2021. -2026.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 xml:space="preserve">Program rješavanja željezničko-cestovnih i pješačkih prijelaza preko pruge za razdoblje od 2023. do 2027. godine </w:t>
      </w:r>
    </w:p>
    <w:p w:rsidR="00F244BA" w:rsidRDefault="00AC19E4">
      <w:r>
        <w:t>˗</w:t>
      </w:r>
      <w:r>
        <w:tab/>
        <w:t xml:space="preserve">Ugovor o dodjeli bespovratnih sredstava za projekt „Rekonstrukcija postojećeg i izgradnja drugog kolosijeka na dionici Hrvatski Leskovac-Karlovac na željezničkoj pruzi M202 Zagreb Gk-Rijeka, broj KK.07.5.1.09.0001“ </w:t>
      </w:r>
    </w:p>
    <w:p w:rsidR="00F244BA" w:rsidRDefault="00AC19E4">
      <w:r>
        <w:t>˗</w:t>
      </w:r>
      <w:r>
        <w:tab/>
        <w:t xml:space="preserve">Ugovor o dodjeli bespovratnih sredstava za projekt „Rekonstrukcija postojećeg i izgradnja drugog kolosijeka na dionici Hrvatski Leskovac-Karlovac na željezničkoj pruzi M202 Zagreb Gk-Rijeka-2. faza PK.5.3.07.0002“ </w:t>
      </w:r>
    </w:p>
    <w:p w:rsidR="00F244BA" w:rsidRDefault="00AC19E4">
      <w:r>
        <w:t>˗</w:t>
      </w:r>
      <w:r>
        <w:tab/>
        <w:t xml:space="preserve">Ugovor o dodjeli bespovratnih sredstava za projekt „Izrada studijske i projektne dokumentacije za modernizaciju željezničke pruge M202 Zagreb Glavni kolodvor, dionica Karlovac-Oštarije, broj KK.07.5.1.08.0001“ </w:t>
      </w:r>
    </w:p>
    <w:p w:rsidR="00F244BA" w:rsidRDefault="00AC19E4">
      <w:r>
        <w:t>˗</w:t>
      </w:r>
      <w:r>
        <w:tab/>
        <w:t xml:space="preserve">Ugovor o dodjeli bespovratnih sredstava za projekt „Izrada studijske i projektne dokumentacije za modernizaciju željezničke pruge M202 Zagreb GK-Rijeka, dionica Karlovac-Oštarije-2. faza, broj PK.5.3.06.0001“ </w:t>
      </w:r>
    </w:p>
    <w:p w:rsidR="00F244BA" w:rsidRDefault="00AC19E4">
      <w:r>
        <w:t>˗</w:t>
      </w:r>
      <w:r>
        <w:tab/>
        <w:t xml:space="preserve">Ugovor o dodjeli bespovratnih sredstava za projekt „Nadogradnja i elektrifikacija postojeće željezničke pruge od značaja za međunarodni promet M601 Vinkovci-Vukovar, KK.07.5.1.05.0001“ </w:t>
      </w:r>
    </w:p>
    <w:p w:rsidR="00F244BA" w:rsidRDefault="00AC19E4">
      <w:r>
        <w:t>˗</w:t>
      </w:r>
      <w:r>
        <w:tab/>
        <w:t xml:space="preserve">Ugovor o dodjeli bespovratnih sredstava za projekt „Rekonstrukcija postojećeg i izgradnja drugog kolosijeka željezničke pruge na dionici Dugo Selo-Križevci, broj KK.07.5.1.02.0001“ </w:t>
      </w:r>
    </w:p>
    <w:p w:rsidR="00F244BA" w:rsidRDefault="00AC19E4">
      <w:r>
        <w:lastRenderedPageBreak/>
        <w:t>˗</w:t>
      </w:r>
      <w:r>
        <w:tab/>
        <w:t xml:space="preserve">Ugovor o dodjeli bespovratnih sredstava za projekt „Modernizacija i elektrifikacija željezničke pruge Zaprešić-Čakovec (R201) na dionici Zaprešić (isključivo)-Zabok (uključivo), KK.07.5.1.03.0001“ </w:t>
      </w:r>
    </w:p>
    <w:p w:rsidR="00F244BA" w:rsidRDefault="00AC19E4">
      <w:r>
        <w:t>˗</w:t>
      </w:r>
      <w:r>
        <w:tab/>
        <w:t xml:space="preserve">Ugovor o dodjeli bespovratnih sredstava za projekt „Projekt osiguranja i modernizacije željezničko-cestovnih prijelaza, broj KK.07.5.1.11.0001“ </w:t>
      </w:r>
    </w:p>
    <w:p w:rsidR="00F244BA" w:rsidRDefault="00AC19E4">
      <w:r>
        <w:t>˗</w:t>
      </w:r>
      <w:r>
        <w:tab/>
        <w:t>Ugovor o dodjeli bespovratnih sredstava za projekt „Projekt osiguranja i modernizacije željezničko-cestovnih prijelaza-II. Faza, broj PK.5.2.07.0001“</w:t>
      </w:r>
    </w:p>
    <w:p w:rsidR="00F244BA" w:rsidRDefault="00AC19E4">
      <w:pPr>
        <w:pStyle w:val="Naslov8"/>
        <w:jc w:val="left"/>
      </w:pPr>
      <w:r>
        <w:t>Opis aktivnosti</w:t>
      </w:r>
    </w:p>
    <w:p w:rsidR="00F244BA" w:rsidRDefault="00AC19E4">
      <w:r>
        <w:t xml:space="preserve">Tijekom 2024. godine doznačena proračunska sredstva društvu HŽ INFRASTRUKTURA d.o.o. u ukupnom iznosu od 7.777.994 € utrošena su za: </w:t>
      </w:r>
    </w:p>
    <w:p w:rsidR="00F244BA" w:rsidRDefault="00AC19E4">
      <w:r>
        <w:t>1.</w:t>
      </w:r>
      <w:r>
        <w:tab/>
        <w:t xml:space="preserve">Projekt „Nadogradnja i elektrifikacija pruge Vinkovci-Vukovar“ u ukupnom iznosu od 3.408.067,91 € za sljedeće namjene: </w:t>
      </w:r>
    </w:p>
    <w:p w:rsidR="00F244BA" w:rsidRDefault="00AC19E4">
      <w:r>
        <w:t>˗</w:t>
      </w:r>
      <w:r>
        <w:tab/>
        <w:t xml:space="preserve">izvođenje radova na projektu </w:t>
      </w:r>
    </w:p>
    <w:p w:rsidR="00F244BA" w:rsidRDefault="00AC19E4">
      <w:r>
        <w:t>˗</w:t>
      </w:r>
      <w:r>
        <w:tab/>
        <w:t xml:space="preserve">financiranje utvrđene razlike u cijeni radova na projektu </w:t>
      </w:r>
    </w:p>
    <w:p w:rsidR="00F244BA" w:rsidRDefault="00AC19E4">
      <w:r>
        <w:t>˗</w:t>
      </w:r>
      <w:r>
        <w:tab/>
        <w:t xml:space="preserve">uslugu nadzora nad izvođenjem radova na projektu </w:t>
      </w:r>
    </w:p>
    <w:p w:rsidR="00F244BA" w:rsidRDefault="00AC19E4">
      <w:r>
        <w:t>˗</w:t>
      </w:r>
      <w:r>
        <w:tab/>
        <w:t xml:space="preserve">mjerenje i utvrđivanje indeksa </w:t>
      </w:r>
    </w:p>
    <w:p w:rsidR="00F244BA" w:rsidRDefault="00AC19E4">
      <w:r>
        <w:t>˗</w:t>
      </w:r>
      <w:r>
        <w:tab/>
        <w:t xml:space="preserve">plaćanje pristojbi </w:t>
      </w:r>
    </w:p>
    <w:p w:rsidR="00F244BA" w:rsidRDefault="00AC19E4">
      <w:r>
        <w:t>˗</w:t>
      </w:r>
      <w:r>
        <w:tab/>
        <w:t xml:space="preserve">troškove vještačenja </w:t>
      </w:r>
    </w:p>
    <w:p w:rsidR="00F244BA" w:rsidRDefault="00AC19E4">
      <w:r>
        <w:t>˗</w:t>
      </w:r>
      <w:r>
        <w:tab/>
        <w:t xml:space="preserve">javnobilježničke i odvjetničke usluge. </w:t>
      </w:r>
    </w:p>
    <w:p w:rsidR="00F244BA" w:rsidRDefault="00AC19E4">
      <w:r>
        <w:t>2.</w:t>
      </w:r>
      <w:r>
        <w:tab/>
        <w:t xml:space="preserve">Projekt „Modernizacija i elektrifikacija dionice Zaprešić-Zabok“ u ukupnom iznosu od 7.657 € i to za: </w:t>
      </w:r>
    </w:p>
    <w:p w:rsidR="00F244BA" w:rsidRDefault="00AC19E4">
      <w:r>
        <w:t>˗</w:t>
      </w:r>
      <w:r>
        <w:tab/>
        <w:t xml:space="preserve">uslugu nadzora radova na projektu. </w:t>
      </w:r>
    </w:p>
    <w:p w:rsidR="00F244BA" w:rsidRDefault="00AC19E4">
      <w:r>
        <w:t>3.</w:t>
      </w:r>
      <w:r>
        <w:tab/>
        <w:t xml:space="preserve">Projekt „Rekonstrukcija postojećeg i izgradnja drugog kolosijeka željezničke pruge na dionici Dugo Selo-Križevci“ u ukupnom iznosu od 645.190,80 € za sljedeće namjene: </w:t>
      </w:r>
    </w:p>
    <w:p w:rsidR="00F244BA" w:rsidRDefault="00AC19E4">
      <w:r>
        <w:t>˗</w:t>
      </w:r>
      <w:r>
        <w:tab/>
        <w:t xml:space="preserve">uslugu izrade izrada noveliranih „razlikovnih knjiga“ </w:t>
      </w:r>
    </w:p>
    <w:p w:rsidR="00F244BA" w:rsidRDefault="00AC19E4">
      <w:r>
        <w:t>˗</w:t>
      </w:r>
      <w:r>
        <w:tab/>
        <w:t xml:space="preserve">uslugu nadzora nad izvođenjem radova na projektu </w:t>
      </w:r>
    </w:p>
    <w:p w:rsidR="00F244BA" w:rsidRDefault="00AC19E4">
      <w:r>
        <w:t>˗</w:t>
      </w:r>
      <w:r>
        <w:tab/>
        <w:t xml:space="preserve">uslugu ultrazvučnog ispitivanja zavara na kolosijecima i skretnicama </w:t>
      </w:r>
    </w:p>
    <w:p w:rsidR="00F244BA" w:rsidRDefault="00AC19E4">
      <w:r>
        <w:t>˗</w:t>
      </w:r>
      <w:r>
        <w:tab/>
        <w:t xml:space="preserve">troškovi tehničkog pregleda </w:t>
      </w:r>
    </w:p>
    <w:p w:rsidR="00F244BA" w:rsidRDefault="00AC19E4">
      <w:r>
        <w:t>˗</w:t>
      </w:r>
      <w:r>
        <w:tab/>
        <w:t xml:space="preserve">razliku u cijeni za radove na projektu. </w:t>
      </w:r>
    </w:p>
    <w:p w:rsidR="00F244BA" w:rsidRDefault="00AC19E4">
      <w:r>
        <w:t>4.</w:t>
      </w:r>
      <w:r>
        <w:tab/>
        <w:t xml:space="preserve">Projekt „Priprema projekata i druge projektne dokumentacije za rekonstrukciju i izgradnju pruge/drugog kolosijeka na dionici pruge Hrvatski Leskovac -Karlovac“ u ukupnom iznosu od 79.847,85 € za sljedeće namjene: </w:t>
      </w:r>
    </w:p>
    <w:p w:rsidR="00F244BA" w:rsidRDefault="00AC19E4">
      <w:r>
        <w:t>˗</w:t>
      </w:r>
      <w:r>
        <w:tab/>
        <w:t xml:space="preserve">troškove pristojbi </w:t>
      </w:r>
    </w:p>
    <w:p w:rsidR="00F244BA" w:rsidRDefault="00AC19E4">
      <w:r>
        <w:t>˗</w:t>
      </w:r>
      <w:r>
        <w:tab/>
        <w:t xml:space="preserve">usluge doznake stabala </w:t>
      </w:r>
    </w:p>
    <w:p w:rsidR="00F244BA" w:rsidRDefault="00AC19E4">
      <w:r>
        <w:t>˗</w:t>
      </w:r>
      <w:r>
        <w:tab/>
        <w:t xml:space="preserve">izradu geodetske situacije građevine za 10. etapu </w:t>
      </w:r>
    </w:p>
    <w:p w:rsidR="00F244BA" w:rsidRDefault="00AC19E4">
      <w:r>
        <w:t>˗</w:t>
      </w:r>
      <w:r>
        <w:tab/>
        <w:t xml:space="preserve">usluge priključka na elektroenergetsku mrežu </w:t>
      </w:r>
    </w:p>
    <w:p w:rsidR="00F244BA" w:rsidRDefault="00AC19E4">
      <w:r>
        <w:t>˗</w:t>
      </w:r>
      <w:r>
        <w:tab/>
        <w:t xml:space="preserve">suglasnost Hrvatskih autocesta d.o.o. za izvođenje radova/aktivnosti </w:t>
      </w:r>
    </w:p>
    <w:p w:rsidR="00F244BA" w:rsidRDefault="00AC19E4">
      <w:r>
        <w:t>˗</w:t>
      </w:r>
      <w:r>
        <w:tab/>
        <w:t xml:space="preserve">izradu izvješća o kontroli glavnog projekta glede mehaničke otpornosti i stabilnosti nosive betonske i zidane konstrukcije betonskih stupova NN mreže građevine </w:t>
      </w:r>
    </w:p>
    <w:p w:rsidR="00F244BA" w:rsidRDefault="00AC19E4">
      <w:r>
        <w:t>˗</w:t>
      </w:r>
      <w:r>
        <w:tab/>
        <w:t xml:space="preserve">vodne doprinose. </w:t>
      </w:r>
    </w:p>
    <w:p w:rsidR="00F244BA" w:rsidRDefault="00AC19E4">
      <w:r>
        <w:t>5.</w:t>
      </w:r>
      <w:r>
        <w:tab/>
        <w:t xml:space="preserve">Projekt „Priprema projekata i ostale projektne dokumentacije za rekonstrukciju i obnovu željezničke pruge na dionici Dugo Selo-Novska, faza 2 i 3“ u ukupnom iznosu od 2.857.507,95 € za sljedeće namjene: </w:t>
      </w:r>
    </w:p>
    <w:p w:rsidR="00F244BA" w:rsidRDefault="00AC19E4">
      <w:r>
        <w:t>˗</w:t>
      </w:r>
      <w:r>
        <w:tab/>
        <w:t xml:space="preserve">rješavanje imovinsko-pravnih odnosa </w:t>
      </w:r>
    </w:p>
    <w:p w:rsidR="00F244BA" w:rsidRDefault="00AC19E4">
      <w:r>
        <w:t>˗</w:t>
      </w:r>
      <w:r>
        <w:tab/>
        <w:t xml:space="preserve">izradu analize usklađenosti sagledanih utjecaja i/ili utvrđenih mjera ublažavanja za zahvat u odnosu na dorađene ciljeve očuvanja područja ekološke mreže Natura 2000 -projekt Dugo Selo-Novska </w:t>
      </w:r>
    </w:p>
    <w:p w:rsidR="00F244BA" w:rsidRDefault="00AC19E4">
      <w:r>
        <w:t>˗</w:t>
      </w:r>
      <w:r>
        <w:tab/>
        <w:t xml:space="preserve">plaćanje pristojbi </w:t>
      </w:r>
    </w:p>
    <w:p w:rsidR="00F244BA" w:rsidRDefault="00AC19E4">
      <w:r>
        <w:lastRenderedPageBreak/>
        <w:t>˗</w:t>
      </w:r>
      <w:r>
        <w:tab/>
        <w:t xml:space="preserve">troškove vještačenja </w:t>
      </w:r>
    </w:p>
    <w:p w:rsidR="00F244BA" w:rsidRDefault="00AC19E4">
      <w:r>
        <w:t>˗</w:t>
      </w:r>
      <w:r>
        <w:tab/>
        <w:t xml:space="preserve">javnobilježničke i odvjetničke usluge i ostalo. </w:t>
      </w:r>
    </w:p>
    <w:p w:rsidR="00F244BA" w:rsidRDefault="00AC19E4">
      <w:r>
        <w:t>6.</w:t>
      </w:r>
      <w:r>
        <w:tab/>
        <w:t xml:space="preserve">Projekt „Izrada projektne i ostale dokumentacije za izgradnju drugog kolosijeka, modernizaciju i obnovu na dionici željezničke pruge Škrljevo-Rijeka -Jurdani“ u ukupnom iznosu od 767.928,21 € za sljedeće namjene: </w:t>
      </w:r>
    </w:p>
    <w:p w:rsidR="00F244BA" w:rsidRDefault="00AC19E4">
      <w:r>
        <w:t>˗</w:t>
      </w:r>
      <w:r>
        <w:tab/>
        <w:t xml:space="preserve">izradu projekte dokumentacije </w:t>
      </w:r>
    </w:p>
    <w:p w:rsidR="00F244BA" w:rsidRDefault="00AC19E4">
      <w:r>
        <w:t>˗</w:t>
      </w:r>
      <w:r>
        <w:tab/>
        <w:t xml:space="preserve">troškove pristojbi </w:t>
      </w:r>
    </w:p>
    <w:p w:rsidR="00F244BA" w:rsidRDefault="00AC19E4">
      <w:r>
        <w:t>˗</w:t>
      </w:r>
      <w:r>
        <w:tab/>
        <w:t xml:space="preserve">vodne doprinose </w:t>
      </w:r>
    </w:p>
    <w:p w:rsidR="00F244BA" w:rsidRDefault="00AC19E4">
      <w:r>
        <w:t>˗</w:t>
      </w:r>
      <w:r>
        <w:tab/>
        <w:t xml:space="preserve">javnobilježničke i odvjetničke usluge. </w:t>
      </w:r>
    </w:p>
    <w:p w:rsidR="00F244BA" w:rsidRDefault="00AC19E4">
      <w:r>
        <w:t>7.</w:t>
      </w:r>
      <w:r>
        <w:tab/>
        <w:t xml:space="preserve">Projekt „Osiguranja i modernizacije željezničko-cestovnih prijelaza“ u ukupnom iznosu od 11.794,28 € za sljedeće namjene: </w:t>
      </w:r>
    </w:p>
    <w:p w:rsidR="00F244BA" w:rsidRDefault="00AC19E4">
      <w:r>
        <w:t>˗</w:t>
      </w:r>
      <w:r>
        <w:tab/>
        <w:t xml:space="preserve">troškove vještačenja </w:t>
      </w:r>
    </w:p>
    <w:p w:rsidR="00F244BA" w:rsidRDefault="00AC19E4">
      <w:r>
        <w:t>˗</w:t>
      </w:r>
      <w:r>
        <w:tab/>
        <w:t xml:space="preserve">usluge priključka na elektroenergetsku mrežu </w:t>
      </w:r>
    </w:p>
    <w:p w:rsidR="00F244BA" w:rsidRDefault="00AC19E4">
      <w:r>
        <w:t>˗</w:t>
      </w:r>
      <w:r>
        <w:tab/>
        <w:t xml:space="preserve">pravo služnosti </w:t>
      </w:r>
    </w:p>
    <w:p w:rsidR="00F244BA" w:rsidRDefault="00AC19E4">
      <w:r>
        <w:t>˗</w:t>
      </w:r>
      <w:r>
        <w:tab/>
        <w:t xml:space="preserve">javnobilježničke usluge i ostalo. </w:t>
      </w:r>
    </w:p>
    <w:p w:rsidR="00F244BA" w:rsidRDefault="00AC19E4">
      <w:r>
        <w:t xml:space="preserve">Za određene projekte za koje se očekivala realizacija tijekom 2024. godine i koji su navedeni u Ugovoru br. 1/2024/HŽI o financiranju investicijskih projekata i njegovim dodacima, nije došlo do realizacije u 2024. godini iz sljedećih razloga: </w:t>
      </w:r>
    </w:p>
    <w:p w:rsidR="00F244BA" w:rsidRDefault="00AC19E4">
      <w:r>
        <w:t>1.</w:t>
      </w:r>
      <w:r>
        <w:tab/>
        <w:t xml:space="preserve">Projekt „Izrada studijske i projektne dokumentacije željezničke pruge M202 Zagreb GK- Rijeka, dionica Karlovac-Oštarije“-tijekom 2024. godine provodio se postupak procjene utjecaja zahvata na okoliš te nije bilo plaćanja po Ugovoru za izradu studijske dokumentacije. Prema Ugovoru o dodjeli bespovratnih sredstava osnovni uvjet za predaju Zahtjeva za nadoknadom sredstava je ostvarenje najnižeg troška u iznosu od 13.000 € te je isti planiran za predaju u 1. kvartalu 2025. godine, kao i zahtjev za povlačenje troškova plaća za 2024. godinu. </w:t>
      </w:r>
    </w:p>
    <w:p w:rsidR="00F244BA" w:rsidRDefault="00AC19E4">
      <w:r>
        <w:t>2.</w:t>
      </w:r>
      <w:r>
        <w:tab/>
        <w:t xml:space="preserve">Projekt „Projekt razvoja baterijskih vlakova (nositelj društvo HŽ Putnički prijevoz d.o.o.)“-zbog promjene u vremenskom planu provedbe Projekta došlo je do vremenskog odstupanja u povlačenju sredstava te se planira povlačenje sredstava u 2025. godini. </w:t>
      </w:r>
    </w:p>
    <w:p w:rsidR="00F244BA" w:rsidRDefault="00AC19E4">
      <w:r>
        <w:t>3.</w:t>
      </w:r>
      <w:r>
        <w:tab/>
        <w:t xml:space="preserve">Projekt „Izgradnja nove željezničke pruge za prigradski promet na dionici Gradec -Sveti Ivan Žabno“ nije bilo realizacije pa posljedično ni plaćanja. </w:t>
      </w:r>
    </w:p>
    <w:p w:rsidR="00F244BA" w:rsidRDefault="00AC19E4">
      <w:r>
        <w:t>4.</w:t>
      </w:r>
      <w:r>
        <w:tab/>
        <w:t xml:space="preserve">Na projektu “Rekonstrukcija postojećeg i izgradnja drugog kolosijeka na dionici Hrvatski Leskovac -Karlovac na željezničkoj pruzi M202 Zagreb GK-Rijeka“ tijekom 2024. godine nije bilo neprihvatljivih troškova sa stajališta Ugovora o dodjeli bespovratnih sredstava za projekte koji se financiranju iz Programa „Konkurentnost i kohezija“ u financijskom razdoblju 2021.-2027. broj PK.5.3.07.0002, a za što je navedena proračunska stavka predviđena. </w:t>
      </w:r>
    </w:p>
    <w:p w:rsidR="00F244BA" w:rsidRDefault="00AC19E4">
      <w:r>
        <w:t>Pokazatelji za 2024. godinu nisu ostvareni na razini ciljanih vrijednosti. Vezano za pokazatelj rezultata izrađene tehničke dokumentacije, došlo je do promjene dinamike u finalizaciji izrade projektne dokumentacije na projektu Dugo Selo -Novska, stoga ostvarena vrijednost odstupa od cilja. Za pokazatelj izvedenih radova na željezničko-cestovnim prijelazima također je došlo do odstupanja od planiranih vrijednosti pokazatelja. Tijekom 2023. godine presudom Visokog upravnog suda je poništena Odluka Državne komisije za kontrolu postupaka javne nabave o prihvaćanju Odluke o odabiru za 69 željezničko-cestovnih prijelaza te je došlo do djelomične obustave radova iz Ugovora i ograničila se provedba na samo 17 željezničko-cestovnih prijelaza, stoga je pokrenut novi postupak za donošenje Odluke o odabiru. Tijekom siječnja 2024. godine donesena je Odluka o odabiru na koju je zaprimljena žalba. Po okončanju žalbenog postupka započeli su radovi i na drugim željezničko-cestovnim prijelazima, ali još uvijek u ograničenom broju zbog trajanja žalbenog postupaka kod Visokog upravnog suda, sve do lipnja 2024. godine kada je odbačena žalba na novu Odluku o odabiru.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 xml:space="preserve">Izrađena tehnička dokumentacija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Pripremljena tehnička dokumentacija u cilju osiguranja za apliciranje na pozive za sufinanciranje iz EU sredstava radi daljnjeg nastavka projekta i izvođenja radova za poboljšanja i modernizacije željezničke infrastrukture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0</w:t>
            </w:r>
          </w:p>
        </w:tc>
      </w:tr>
      <w:tr w:rsidR="00F244BA">
        <w:trPr>
          <w:jc w:val="center"/>
        </w:trPr>
        <w:tc>
          <w:tcPr>
            <w:tcW w:w="2551" w:type="dxa"/>
          </w:tcPr>
          <w:p w:rsidR="00F244BA" w:rsidRDefault="00AC19E4">
            <w:pPr>
              <w:pStyle w:val="CellColumn"/>
              <w:jc w:val="left"/>
            </w:pPr>
            <w:r>
              <w:rPr>
                <w:rFonts w:cs="Times New Roman"/>
              </w:rPr>
              <w:t xml:space="preserve">Izvedeni radovi na željezničkim prugama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Izvedeni radovi za modernizaciju, rekonstrukciju i izgradnju željezničke pruge i unaprijeđenje željezničke infrastrukture</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23,9</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18,7</w:t>
            </w:r>
          </w:p>
        </w:tc>
      </w:tr>
      <w:tr w:rsidR="00F244BA">
        <w:trPr>
          <w:jc w:val="center"/>
        </w:trPr>
        <w:tc>
          <w:tcPr>
            <w:tcW w:w="2551" w:type="dxa"/>
          </w:tcPr>
          <w:p w:rsidR="00F244BA" w:rsidRDefault="00AC19E4">
            <w:pPr>
              <w:pStyle w:val="CellColumn"/>
              <w:jc w:val="left"/>
            </w:pPr>
            <w:r>
              <w:rPr>
                <w:rFonts w:cs="Times New Roman"/>
              </w:rPr>
              <w:t xml:space="preserve">Izvedeni radovi na željezničko-cestovnim prijelazima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Osigurani i modernizirani željezničko-cestovni prijelazi automatskim elektroničkim signalno-sigurnosnim uređajima na prugama za međunarodni, regionalni i lokalni promet</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35</w:t>
            </w:r>
          </w:p>
        </w:tc>
        <w:tc>
          <w:tcPr>
            <w:tcW w:w="1020" w:type="dxa"/>
          </w:tcPr>
          <w:p w:rsidR="00F244BA" w:rsidRDefault="00AC19E4">
            <w:pPr>
              <w:pStyle w:val="CellColumn"/>
              <w:jc w:val="right"/>
            </w:pPr>
            <w:r>
              <w:rPr>
                <w:rFonts w:cs="Times New Roman"/>
              </w:rPr>
              <w:t>32</w:t>
            </w:r>
          </w:p>
        </w:tc>
      </w:tr>
    </w:tbl>
    <w:p w:rsidR="00F244BA" w:rsidRDefault="00F244BA">
      <w:pPr>
        <w:jc w:val="left"/>
      </w:pPr>
    </w:p>
    <w:p w:rsidR="00F244BA" w:rsidRDefault="00AC19E4">
      <w:pPr>
        <w:pStyle w:val="Naslov4"/>
      </w:pPr>
      <w:r>
        <w:t>T754048 POTPORA U PROVEDBI CEF PROJEKATA ŽELJEZNIČKOG SEKTORA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T754048-POTPORA U PROVEDBI CEF PROJEKATA ŽELJEZNIČKOG SEKTORA</w:t>
            </w:r>
          </w:p>
        </w:tc>
        <w:tc>
          <w:tcPr>
            <w:tcW w:w="2041" w:type="dxa"/>
          </w:tcPr>
          <w:p w:rsidR="00F244BA" w:rsidRDefault="00AC19E4">
            <w:pPr>
              <w:pStyle w:val="CellColumn"/>
              <w:jc w:val="right"/>
            </w:pPr>
            <w:r>
              <w:rPr>
                <w:rFonts w:cs="Times New Roman"/>
              </w:rPr>
              <w:t>26.776.752</w:t>
            </w:r>
          </w:p>
        </w:tc>
        <w:tc>
          <w:tcPr>
            <w:tcW w:w="2041" w:type="dxa"/>
          </w:tcPr>
          <w:p w:rsidR="00F244BA" w:rsidRDefault="00AC19E4">
            <w:pPr>
              <w:pStyle w:val="CellColumn"/>
              <w:jc w:val="right"/>
            </w:pPr>
            <w:r>
              <w:rPr>
                <w:rFonts w:cs="Times New Roman"/>
              </w:rPr>
              <w:t>21.397.296</w:t>
            </w:r>
          </w:p>
        </w:tc>
        <w:tc>
          <w:tcPr>
            <w:tcW w:w="2041" w:type="dxa"/>
          </w:tcPr>
          <w:p w:rsidR="00F244BA" w:rsidRDefault="00AC19E4">
            <w:pPr>
              <w:pStyle w:val="CellColumn"/>
              <w:jc w:val="right"/>
            </w:pPr>
            <w:r>
              <w:rPr>
                <w:rFonts w:cs="Times New Roman"/>
              </w:rPr>
              <w:t>21.397.296</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79,9</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 xml:space="preserve">Program rješavanja željezničko-cestovnih i pješačkih prijelaza preko pruge za razdoblje od 2023. do 2027. godine </w:t>
      </w:r>
    </w:p>
    <w:p w:rsidR="00F244BA" w:rsidRDefault="00AC19E4">
      <w:r>
        <w:t>˗</w:t>
      </w:r>
      <w:r>
        <w:tab/>
        <w:t xml:space="preserve">Sporazum o dodjeli bespovratnih sredstava br. INEA/CEF/TRAN/M2016/1366913 za projekt „Izrada tehničke dokumentacije za modernizaciju željezničke dionice Oštarije-Škrljevo“ </w:t>
      </w:r>
    </w:p>
    <w:p w:rsidR="00F244BA" w:rsidRDefault="00AC19E4">
      <w:r>
        <w:lastRenderedPageBreak/>
        <w:t>˗</w:t>
      </w:r>
      <w:r>
        <w:tab/>
        <w:t xml:space="preserve">Sporazum o dodjeli bespovratnih sredstava br. INEA/CEF/TRAN/M2015/1126931 za projekt „Rekonstrukcija postojećeg i izgradnja drugog kolosijeka željezničke pruge na dionici Križevci-Koprivnica-državna granica“ </w:t>
      </w:r>
    </w:p>
    <w:p w:rsidR="00F244BA" w:rsidRDefault="00AC19E4">
      <w:r>
        <w:t>˗</w:t>
      </w:r>
      <w:r>
        <w:tab/>
        <w:t xml:space="preserve">Sporazum o dodjeli bespovratnih sredstava br. INEA/CEF/TRAN/M2016/1365734 za projekt „Izrada projektne dokumentacije za modernizaciju željezničke dionice Okučani-Vinkovci“ </w:t>
      </w:r>
    </w:p>
    <w:p w:rsidR="00F244BA" w:rsidRDefault="00AC19E4">
      <w:r>
        <w:t>˗</w:t>
      </w:r>
      <w:r>
        <w:tab/>
        <w:t xml:space="preserve">Sporazum o dodjeli bespovratnih sredstava br. INEA/CEF/TRAN/M2019/2097375 za projekt „Poboljšanje željezničke infrastrukture-uspostava sustava praćenja za sigurnost, osiguranje i tehničke kontrole“ </w:t>
      </w:r>
    </w:p>
    <w:p w:rsidR="00F244BA" w:rsidRDefault="00AC19E4">
      <w:r>
        <w:t>˗</w:t>
      </w:r>
      <w:r>
        <w:tab/>
        <w:t xml:space="preserve">Sporazum o dodjeli bespovratnih sredstava br. INEA/CEF/TRAN/M2020/2440898 za projekt „Modernizacija željezničke pruge na dionici Zagreb Glavni kolodvor-Hrvatski Leskovac-izrada dokumentacije“ </w:t>
      </w:r>
    </w:p>
    <w:p w:rsidR="00F244BA" w:rsidRDefault="00AC19E4">
      <w:r>
        <w:t>˗</w:t>
      </w:r>
      <w:r>
        <w:tab/>
        <w:t xml:space="preserve">Sporazum o dodjeli bespovratnih sredstava Projekt 101122629-22-HR-TC-SKRKRTI za Projekt „Izrada idejnog projekta za novu dvokolosiječnu željezničku prugu na dionici Skradnik-Krasica-Tijani“ </w:t>
      </w:r>
    </w:p>
    <w:p w:rsidR="00F244BA" w:rsidRDefault="00AC19E4">
      <w:r>
        <w:t>˗</w:t>
      </w:r>
      <w:r>
        <w:tab/>
        <w:t>Sporazum o dodjeli bespovratnih sredstava Projekt 101122716-22-HR-TC-DSNOV za Projekt „Rekonstrukcija postojećeg i izgradnja drugog kolosijeka željezničke pruge Dugo Selo-Novska na dionici Ivanić Grad-Kutina“</w:t>
      </w:r>
    </w:p>
    <w:p w:rsidR="00F244BA" w:rsidRDefault="00AC19E4">
      <w:pPr>
        <w:pStyle w:val="Naslov8"/>
        <w:jc w:val="left"/>
      </w:pPr>
      <w:r>
        <w:t>Opis aktivnosti</w:t>
      </w:r>
    </w:p>
    <w:p w:rsidR="00F244BA" w:rsidRDefault="00AC19E4">
      <w:r>
        <w:t xml:space="preserve">Tijekom 2024. godine doznačena proračunska sredstva društvu HŽ INFRASTRUKTURA d.o.o. u ukupnom iznosu od 21.397.296,00 € utrošena su za: </w:t>
      </w:r>
    </w:p>
    <w:p w:rsidR="00F244BA" w:rsidRDefault="00AC19E4">
      <w:r>
        <w:t>1.</w:t>
      </w:r>
      <w:r>
        <w:tab/>
        <w:t xml:space="preserve">Projekt "Rekonstrukcija postojećeg i izgradnja drugog kolosijeka na dionici Križevci-Koprivnici-DG" u ukupnom iznosu od 20.928.313,04 € za sljedeće namjene: </w:t>
      </w:r>
    </w:p>
    <w:p w:rsidR="00F244BA" w:rsidRDefault="00AC19E4">
      <w:r>
        <w:t>˗</w:t>
      </w:r>
      <w:r>
        <w:tab/>
        <w:t xml:space="preserve">izvođenje radova na projektu </w:t>
      </w:r>
    </w:p>
    <w:p w:rsidR="00F244BA" w:rsidRDefault="00AC19E4">
      <w:r>
        <w:t>˗</w:t>
      </w:r>
      <w:r>
        <w:tab/>
        <w:t xml:space="preserve">uslugu nadzora nad izvođenjem radova na projektu </w:t>
      </w:r>
    </w:p>
    <w:p w:rsidR="00F244BA" w:rsidRDefault="00AC19E4">
      <w:r>
        <w:t>˗</w:t>
      </w:r>
      <w:r>
        <w:tab/>
        <w:t xml:space="preserve">financiranje utvrđene razlike u cijeni radova na projektu </w:t>
      </w:r>
    </w:p>
    <w:p w:rsidR="00F244BA" w:rsidRDefault="00AC19E4">
      <w:r>
        <w:t>˗</w:t>
      </w:r>
      <w:r>
        <w:tab/>
        <w:t xml:space="preserve">izradu tehničke dokumentacije </w:t>
      </w:r>
    </w:p>
    <w:p w:rsidR="00F244BA" w:rsidRDefault="00AC19E4">
      <w:r>
        <w:t>˗</w:t>
      </w:r>
      <w:r>
        <w:tab/>
        <w:t xml:space="preserve">rješavanje imovinsko-pravnih odnosa </w:t>
      </w:r>
    </w:p>
    <w:p w:rsidR="00F244BA" w:rsidRDefault="00AC19E4">
      <w:r>
        <w:t>˗</w:t>
      </w:r>
      <w:r>
        <w:tab/>
        <w:t xml:space="preserve">troškove pristojbi </w:t>
      </w:r>
    </w:p>
    <w:p w:rsidR="00F244BA" w:rsidRDefault="00AC19E4">
      <w:r>
        <w:t>˗</w:t>
      </w:r>
      <w:r>
        <w:tab/>
        <w:t xml:space="preserve">troškove vještačenja </w:t>
      </w:r>
    </w:p>
    <w:p w:rsidR="00F244BA" w:rsidRDefault="00AC19E4">
      <w:r>
        <w:t>˗</w:t>
      </w:r>
      <w:r>
        <w:tab/>
        <w:t xml:space="preserve">leasing vozila </w:t>
      </w:r>
    </w:p>
    <w:p w:rsidR="00F244BA" w:rsidRDefault="00AC19E4">
      <w:r>
        <w:t>˗</w:t>
      </w:r>
      <w:r>
        <w:tab/>
        <w:t xml:space="preserve">troškove izdavanja suglasnosti Hrvatskih cesta d.o.o. </w:t>
      </w:r>
    </w:p>
    <w:p w:rsidR="00F244BA" w:rsidRDefault="00AC19E4">
      <w:r>
        <w:t>˗</w:t>
      </w:r>
      <w:r>
        <w:tab/>
        <w:t xml:space="preserve">troškove vanjskih revizora </w:t>
      </w:r>
    </w:p>
    <w:p w:rsidR="00F244BA" w:rsidRDefault="00AC19E4">
      <w:r>
        <w:t>˗</w:t>
      </w:r>
      <w:r>
        <w:tab/>
        <w:t xml:space="preserve">interne plaće radnika na projektu </w:t>
      </w:r>
    </w:p>
    <w:p w:rsidR="00F244BA" w:rsidRDefault="00AC19E4">
      <w:r>
        <w:t>˗</w:t>
      </w:r>
      <w:r>
        <w:tab/>
        <w:t xml:space="preserve">javnobilježničke usluge </w:t>
      </w:r>
    </w:p>
    <w:p w:rsidR="00F244BA" w:rsidRDefault="00AC19E4">
      <w:r>
        <w:t>˗</w:t>
      </w:r>
      <w:r>
        <w:tab/>
        <w:t xml:space="preserve">promidžbu i vidljivost na projektu i dr. </w:t>
      </w:r>
    </w:p>
    <w:p w:rsidR="00F244BA" w:rsidRDefault="00AC19E4">
      <w:r>
        <w:t>2.</w:t>
      </w:r>
      <w:r>
        <w:tab/>
        <w:t xml:space="preserve">Projekt "Izrada projektne dokumentacije za rekonstrukciju željezničke dionice Okučani-Vinkovci" u ukupnom iznosu od 148.324,43 € za sljedeće namjene: </w:t>
      </w:r>
    </w:p>
    <w:p w:rsidR="00F244BA" w:rsidRDefault="00AC19E4">
      <w:r>
        <w:t>˗</w:t>
      </w:r>
      <w:r>
        <w:tab/>
        <w:t xml:space="preserve">izradu tehničke dokumentacije za projekt </w:t>
      </w:r>
    </w:p>
    <w:p w:rsidR="00F244BA" w:rsidRDefault="00AC19E4">
      <w:r>
        <w:t>˗</w:t>
      </w:r>
      <w:r>
        <w:tab/>
        <w:t xml:space="preserve">interne plaće radnika na projektu. </w:t>
      </w:r>
    </w:p>
    <w:p w:rsidR="00F244BA" w:rsidRDefault="00AC19E4">
      <w:r>
        <w:t>3.</w:t>
      </w:r>
      <w:r>
        <w:tab/>
        <w:t xml:space="preserve">Projekt „Izrada tehničke dokumentacije za modernizaciju željezničke dionice Oštarije -Škrljevo“ u ukupnom iznosu od 19.290,09 € za sljedeće namjene:  </w:t>
      </w:r>
    </w:p>
    <w:p w:rsidR="00F244BA" w:rsidRDefault="00AC19E4">
      <w:r>
        <w:t>˗</w:t>
      </w:r>
      <w:r>
        <w:tab/>
        <w:t xml:space="preserve">izradu studijske dokumentacije za projekt.  </w:t>
      </w:r>
    </w:p>
    <w:p w:rsidR="00F244BA" w:rsidRDefault="00AC19E4">
      <w:r>
        <w:t>4.</w:t>
      </w:r>
      <w:r>
        <w:tab/>
        <w:t xml:space="preserve">Projekt "Izrada idejnog projekta za novu dvokolosiječnu željezničku prugu na dionici Skradnik-Krasica -Tijani" u ukupnom iznosu od 5.378,61 € za sljedeće namjene:  </w:t>
      </w:r>
    </w:p>
    <w:p w:rsidR="00F244BA" w:rsidRDefault="00AC19E4">
      <w:r>
        <w:t>˗</w:t>
      </w:r>
      <w:r>
        <w:tab/>
        <w:t xml:space="preserve">promidžbu i vidljivost na projektu </w:t>
      </w:r>
    </w:p>
    <w:p w:rsidR="00F244BA" w:rsidRDefault="00AC19E4">
      <w:r>
        <w:t>˗</w:t>
      </w:r>
      <w:r>
        <w:tab/>
        <w:t xml:space="preserve">interne plaće radnika na projektu. </w:t>
      </w:r>
    </w:p>
    <w:p w:rsidR="00F244BA" w:rsidRDefault="00AC19E4">
      <w:r>
        <w:lastRenderedPageBreak/>
        <w:t xml:space="preserve">Projekt je započeo pod nazivom „Izrada tehničke dokumentacije za modernizaciju željezničke dionice Oštarije-Škrljevo“ te je ugovorom o dodjeli bespovratnih sredstava INEA/CEF/TRAN/M2016/1366913 financirana izrada studijske dokumentacije za modernizaciju željezničke pruge M202 Zagreb GK-Rijeka, na dionici Oštarije-Škrljevo. Ugovor 9/20-EU za izradu studijske dokumentacije za modernizaciju željezničke pruge M202 Zagreb GK-Rijeka, dionica Oštarije-Škrljevo, će biti okončan tijekom 2025. godine. </w:t>
      </w:r>
    </w:p>
    <w:p w:rsidR="00F244BA" w:rsidRDefault="00AC19E4">
      <w:r>
        <w:t xml:space="preserve">Analizom izrađenih idejnih rješenja kao najpovoljnija je izabrana varijanta koja predviđa izgradnju nove dvokolosiječne pruge na dionici Skradnik-Krasica-Tijani. Nastavak projekta i izrada projektne dokumentacije (idejnog projekta) za odabranu dionicu je prihvaćen za sufinanciranje od strane CINEA-e u lipnju 2023. godine iz Instrumenta za povezivanje Europe (CEF)-2022 CEF poziv Promet-CEF 2 Transport-Projects on the Comprehensive Network-Cohesion envelope (CEF-T-2022-COMPCOEN). Sporazum o dodjeli bespovratnih sredstava 101122629-22-HR-TC-SKRKRTI je potpisan 19. listopada 2023. godine. Sukladno tome, nastavak projekta je pod nazivom „Izrada idejnog projekta za novu dvokolosiječnu željezničku prugu na dionici Skradnik-Krasica-Tijani.“ </w:t>
      </w:r>
    </w:p>
    <w:p w:rsidR="00F244BA" w:rsidRDefault="00AC19E4">
      <w:r>
        <w:t xml:space="preserve">Za nastavak, odnosno izradu idejnog projekta za novu dvokolosiječnu željezničku prugu na dionici Skradnik-Krasica-Tijani, sklopljen je 4. studenog 2024. godine Ugovor br.12/24-EU. </w:t>
      </w:r>
    </w:p>
    <w:p w:rsidR="00F244BA" w:rsidRDefault="00AC19E4">
      <w:r>
        <w:t>5.</w:t>
      </w:r>
      <w:r>
        <w:tab/>
        <w:t xml:space="preserve">Projekt "Unapređenje infrastrukture u luci Rijeka-kontejnerski terminal Zagrebačko pristanište" u ukupnom iznosu od 5.530,75 € i to za:  </w:t>
      </w:r>
    </w:p>
    <w:p w:rsidR="00F244BA" w:rsidRDefault="00AC19E4">
      <w:r>
        <w:t>˗</w:t>
      </w:r>
      <w:r>
        <w:tab/>
        <w:t xml:space="preserve">interne plaće radnika na projektu. </w:t>
      </w:r>
    </w:p>
    <w:p w:rsidR="00F244BA" w:rsidRDefault="00AC19E4">
      <w:r>
        <w:t>6.</w:t>
      </w:r>
      <w:r>
        <w:tab/>
        <w:t xml:space="preserve">Projekt „Modernizacija željezničke pruge na dionici Zagreb Glavni kolodvor -Hrvatski Leskovac -izrada dokumentacije“ u ukupnom iznosu od 6.165,66 € za: </w:t>
      </w:r>
    </w:p>
    <w:p w:rsidR="00F244BA" w:rsidRDefault="00AC19E4">
      <w:r>
        <w:t>˗</w:t>
      </w:r>
      <w:r>
        <w:tab/>
        <w:t xml:space="preserve">izradu projektne dokumentacije </w:t>
      </w:r>
    </w:p>
    <w:p w:rsidR="00F244BA" w:rsidRDefault="00AC19E4">
      <w:r>
        <w:t>˗</w:t>
      </w:r>
      <w:r>
        <w:tab/>
        <w:t xml:space="preserve">interne plaće radnika na projektu. </w:t>
      </w:r>
    </w:p>
    <w:p w:rsidR="00F244BA" w:rsidRDefault="00AC19E4">
      <w:r>
        <w:t>7.</w:t>
      </w:r>
      <w:r>
        <w:tab/>
        <w:t xml:space="preserve">Projekt „Rekonstrukcija postojećeg i izgradnja drugog kolosijeka željezničke pruge Dugo Selo-Novska na dionici Ivanić Grad-Kutina“ u ukupnom iznosu od 39.520,23 € za sljedeće namjene: </w:t>
      </w:r>
    </w:p>
    <w:p w:rsidR="00F244BA" w:rsidRDefault="00AC19E4">
      <w:r>
        <w:t>˗</w:t>
      </w:r>
      <w:r>
        <w:tab/>
        <w:t xml:space="preserve">rješavanje imovinsko-pravnih odnosa </w:t>
      </w:r>
    </w:p>
    <w:p w:rsidR="00F244BA" w:rsidRDefault="00AC19E4">
      <w:r>
        <w:t>˗</w:t>
      </w:r>
      <w:r>
        <w:tab/>
        <w:t xml:space="preserve">troškove vještačenja </w:t>
      </w:r>
    </w:p>
    <w:p w:rsidR="00F244BA" w:rsidRDefault="00AC19E4">
      <w:r>
        <w:t>˗</w:t>
      </w:r>
      <w:r>
        <w:tab/>
        <w:t xml:space="preserve">javnobilježničke usluge </w:t>
      </w:r>
    </w:p>
    <w:p w:rsidR="00F244BA" w:rsidRDefault="00AC19E4">
      <w:r>
        <w:t>˗</w:t>
      </w:r>
      <w:r>
        <w:tab/>
        <w:t xml:space="preserve">interne plaće radnika na projektu. </w:t>
      </w:r>
    </w:p>
    <w:p w:rsidR="00F244BA" w:rsidRDefault="00AC19E4">
      <w:r>
        <w:t>8.</w:t>
      </w:r>
      <w:r>
        <w:tab/>
        <w:t xml:space="preserve">Projekt „Poboljšanje željezničke infrastrukture-uspostava sustava praćenja za sigurnost, osiguranje i tehničke kontrole“ u ukupnom iznosu od 244.773,19 € za sljedeće namjene: </w:t>
      </w:r>
    </w:p>
    <w:p w:rsidR="00F244BA" w:rsidRDefault="00AC19E4">
      <w:r>
        <w:t>˗</w:t>
      </w:r>
      <w:r>
        <w:tab/>
        <w:t xml:space="preserve">uspostava mjernih stanica za sigurnosne i tehničke kontrole </w:t>
      </w:r>
    </w:p>
    <w:p w:rsidR="00F244BA" w:rsidRDefault="00AC19E4">
      <w:r>
        <w:t>˗</w:t>
      </w:r>
      <w:r>
        <w:tab/>
        <w:t xml:space="preserve">interne plaće radnika na projektu. </w:t>
      </w:r>
    </w:p>
    <w:p w:rsidR="00F244BA" w:rsidRDefault="00AC19E4">
      <w:r>
        <w:t xml:space="preserve">Za projekt „Razvoj multimodalne platforme u luci Rijeka i povezivanje s kontejnerskim terminalom Jadranska vrata“, za kojeg je bila predviđena realizacija tijekom 2024. godine (Ugovor br. 1/2024/HŽI o financiranju investicijskih projekata i njegovim dodacima), nije došlo do realizacije zbog dugotrajnosti procedure u postizanju tehničkih uvjeta te formalno pravnih procedura i odobrenja, koja su temelj za sklapanje dodatka Ugovoru. Okončanje Ugovora i povlačenje sredstava iz državnog proračuna planira se u 2025. godini. </w:t>
      </w:r>
    </w:p>
    <w:p w:rsidR="00F244BA" w:rsidRDefault="00AC19E4">
      <w:r>
        <w:t>Ostvarenje vrijednosti pokazatelja Broj ugrađenih mjernih stanica za 2024. godinu obuhvaća ugradnju 6 mjernih stanica (ugrađenu opremu i završene radove). Do odstupanja od ciljane vrijednosti za 2024. godinu došlo je zbog dugotrajne izrade projektne dokumentacije, što je rezultiralo pomicanjem planiranog roka početka radova ugradnje mjernih stanica.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 xml:space="preserve">Izrađena tehnička dokumentacija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Priprema tehničke dokumentacije u cilju osiguranja za apliciranje na pozive za sufinanciranje iz EU sredstava radi daljnjeg nastavka projekta i izvođenja radova za poboljšanje željezničke infrastrukture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r w:rsidR="00F244BA">
        <w:trPr>
          <w:jc w:val="center"/>
        </w:trPr>
        <w:tc>
          <w:tcPr>
            <w:tcW w:w="2551" w:type="dxa"/>
          </w:tcPr>
          <w:p w:rsidR="00F244BA" w:rsidRDefault="00AC19E4">
            <w:pPr>
              <w:pStyle w:val="CellColumn"/>
              <w:jc w:val="left"/>
            </w:pPr>
            <w:r>
              <w:rPr>
                <w:rFonts w:cs="Times New Roman"/>
              </w:rPr>
              <w:t xml:space="preserve">Izvedeni radovi na željezničkim prugama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Izvedeni radovi za modernizaciju, rekonstrukciju i izgradnju željezničke pruge i unaprjeđenje željezničke infrastrukture</w:t>
            </w:r>
          </w:p>
        </w:tc>
        <w:tc>
          <w:tcPr>
            <w:tcW w:w="1020" w:type="dxa"/>
          </w:tcPr>
          <w:p w:rsidR="00F244BA" w:rsidRDefault="00AC19E4">
            <w:pPr>
              <w:pStyle w:val="CellColumn"/>
              <w:jc w:val="right"/>
            </w:pPr>
            <w:r>
              <w:rPr>
                <w:rFonts w:cs="Times New Roman"/>
              </w:rPr>
              <w:t>km</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r w:rsidR="00F244BA">
        <w:trPr>
          <w:jc w:val="center"/>
        </w:trPr>
        <w:tc>
          <w:tcPr>
            <w:tcW w:w="2551" w:type="dxa"/>
          </w:tcPr>
          <w:p w:rsidR="00F244BA" w:rsidRDefault="00AC19E4">
            <w:pPr>
              <w:pStyle w:val="CellColumn"/>
              <w:jc w:val="left"/>
            </w:pPr>
            <w:r>
              <w:rPr>
                <w:rFonts w:cs="Times New Roman"/>
              </w:rPr>
              <w:t>Broj ugrađenih mjernim stanicama</w:t>
            </w:r>
          </w:p>
        </w:tc>
        <w:tc>
          <w:tcPr>
            <w:tcW w:w="2551" w:type="dxa"/>
          </w:tcPr>
          <w:p w:rsidR="00F244BA" w:rsidRDefault="00AC19E4">
            <w:pPr>
              <w:pStyle w:val="CellColumn"/>
              <w:jc w:val="left"/>
            </w:pPr>
            <w:r>
              <w:rPr>
                <w:rFonts w:cs="Times New Roman"/>
              </w:rPr>
              <w:t>Broj lokacija na prugama RH s ugrađenim mjernim stanicama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9</w:t>
            </w:r>
          </w:p>
        </w:tc>
        <w:tc>
          <w:tcPr>
            <w:tcW w:w="1020" w:type="dxa"/>
          </w:tcPr>
          <w:p w:rsidR="00F244BA" w:rsidRDefault="00AC19E4">
            <w:pPr>
              <w:pStyle w:val="CellColumn"/>
              <w:jc w:val="right"/>
            </w:pPr>
            <w:r>
              <w:rPr>
                <w:rFonts w:cs="Times New Roman"/>
              </w:rPr>
              <w:t>6</w:t>
            </w:r>
          </w:p>
        </w:tc>
      </w:tr>
    </w:tbl>
    <w:p w:rsidR="00F244BA" w:rsidRDefault="00F244BA">
      <w:pPr>
        <w:jc w:val="left"/>
      </w:pPr>
    </w:p>
    <w:p w:rsidR="00F244BA" w:rsidRDefault="00AC19E4">
      <w:pPr>
        <w:pStyle w:val="Naslov4"/>
      </w:pPr>
      <w:r>
        <w:t>T754054 PRILAGODBA ŽELJEZNIČKIH GRANIČNIH PRIJELAZA ZA PROVEDBU SCHENGENSKE PRAVNE STEČEVINE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T754054-PRILAGODBA ŽELJEZNIČKIH GRANIČNIH PRIJELAZA ZA PROVEDBU SCHENGENSKE PRAVNE STEČEVINE</w:t>
            </w:r>
          </w:p>
        </w:tc>
        <w:tc>
          <w:tcPr>
            <w:tcW w:w="2041" w:type="dxa"/>
          </w:tcPr>
          <w:p w:rsidR="00F244BA" w:rsidRDefault="00AC19E4">
            <w:pPr>
              <w:pStyle w:val="CellColumn"/>
              <w:jc w:val="right"/>
            </w:pPr>
            <w:r>
              <w:rPr>
                <w:rFonts w:cs="Times New Roman"/>
              </w:rPr>
              <w:t>19.267</w:t>
            </w:r>
          </w:p>
        </w:tc>
        <w:tc>
          <w:tcPr>
            <w:tcW w:w="2041" w:type="dxa"/>
          </w:tcPr>
          <w:p w:rsidR="00F244BA" w:rsidRDefault="00AC19E4">
            <w:pPr>
              <w:pStyle w:val="CellColumn"/>
              <w:jc w:val="right"/>
            </w:pPr>
            <w:r>
              <w:rPr>
                <w:rFonts w:cs="Times New Roman"/>
              </w:rPr>
              <w:t>2.375.000</w:t>
            </w:r>
          </w:p>
        </w:tc>
        <w:tc>
          <w:tcPr>
            <w:tcW w:w="2041" w:type="dxa"/>
          </w:tcPr>
          <w:p w:rsidR="00F244BA" w:rsidRDefault="00AC19E4">
            <w:pPr>
              <w:pStyle w:val="CellColumn"/>
              <w:jc w:val="right"/>
            </w:pPr>
            <w:r>
              <w:rPr>
                <w:rFonts w:cs="Times New Roman"/>
              </w:rPr>
              <w:t>1.704.212</w:t>
            </w:r>
          </w:p>
        </w:tc>
        <w:tc>
          <w:tcPr>
            <w:tcW w:w="1224" w:type="dxa"/>
          </w:tcPr>
          <w:p w:rsidR="00F244BA" w:rsidRDefault="00AC19E4">
            <w:pPr>
              <w:pStyle w:val="CellColumn"/>
              <w:jc w:val="right"/>
            </w:pPr>
            <w:r>
              <w:rPr>
                <w:rFonts w:cs="Times New Roman"/>
              </w:rPr>
              <w:t>71,8</w:t>
            </w:r>
          </w:p>
        </w:tc>
        <w:tc>
          <w:tcPr>
            <w:tcW w:w="1224" w:type="dxa"/>
          </w:tcPr>
          <w:p w:rsidR="00F244BA" w:rsidRDefault="00AC19E4">
            <w:pPr>
              <w:pStyle w:val="CellColumn"/>
              <w:jc w:val="right"/>
            </w:pPr>
            <w:r>
              <w:rPr>
                <w:rFonts w:cs="Times New Roman"/>
              </w:rPr>
              <w:t>8845,4</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 xml:space="preserve">Strategija integriranog upravljanja granicom RH </w:t>
      </w:r>
    </w:p>
    <w:p w:rsidR="00F244BA" w:rsidRDefault="00AC19E4">
      <w:r>
        <w:t>˗</w:t>
      </w:r>
      <w:r>
        <w:tab/>
        <w:t xml:space="preserve">Zakon o nadzoru državne granice </w:t>
      </w:r>
    </w:p>
    <w:p w:rsidR="00F244BA" w:rsidRDefault="00AC19E4">
      <w:r>
        <w:t>˗</w:t>
      </w:r>
      <w:r>
        <w:tab/>
        <w:t xml:space="preserve">Uredba o graničnim prijelazima RH </w:t>
      </w:r>
    </w:p>
    <w:p w:rsidR="00F244BA" w:rsidRDefault="00AC19E4">
      <w:r>
        <w:t>˗</w:t>
      </w:r>
      <w:r>
        <w:tab/>
        <w:t xml:space="preserve">Uredba o standardima koje moraju ispunjavati granični prijelazi za učinkovito i sigurno obavljanje granične kontrole </w:t>
      </w:r>
    </w:p>
    <w:p w:rsidR="00F244BA" w:rsidRDefault="00AC19E4">
      <w:r>
        <w:t>˗</w:t>
      </w:r>
      <w:r>
        <w:tab/>
        <w:t xml:space="preserve">Uredba o graničnim prijelazima </w:t>
      </w:r>
    </w:p>
    <w:p w:rsidR="00F244BA" w:rsidRDefault="00AC19E4">
      <w:r>
        <w:lastRenderedPageBreak/>
        <w:t>˗</w:t>
      </w:r>
      <w:r>
        <w:tab/>
        <w:t>Pojedinačna Rješenja o određivanju područja za svaki od graničnih prijelaza.</w:t>
      </w:r>
    </w:p>
    <w:p w:rsidR="00F244BA" w:rsidRDefault="00AC19E4">
      <w:pPr>
        <w:pStyle w:val="Naslov8"/>
        <w:jc w:val="left"/>
      </w:pPr>
      <w:r>
        <w:t>Opis aktivnosti</w:t>
      </w:r>
    </w:p>
    <w:p w:rsidR="00F244BA" w:rsidRDefault="00AC19E4">
      <w:r>
        <w:t xml:space="preserve">Tijekom 2024. godine doznačena proračunska sredstva društvu HŽ INFRASTRUKTURA d.o.o. u ukupnom iznosu od 1.704.212,16 € utrošena su za: </w:t>
      </w:r>
    </w:p>
    <w:p w:rsidR="00F244BA" w:rsidRDefault="00AC19E4">
      <w:r>
        <w:t>˗</w:t>
      </w:r>
      <w:r>
        <w:tab/>
        <w:t xml:space="preserve">izvođenje radova na projektu </w:t>
      </w:r>
    </w:p>
    <w:p w:rsidR="00F244BA" w:rsidRDefault="00AC19E4">
      <w:r>
        <w:t>˗</w:t>
      </w:r>
      <w:r>
        <w:tab/>
        <w:t xml:space="preserve">uslugu stručnog nadzora. </w:t>
      </w:r>
    </w:p>
    <w:p w:rsidR="00F244BA" w:rsidRDefault="00AC19E4">
      <w:r>
        <w:t>Do odstupanja ostvarene od ciljane vrijednosti pokazatelja za 2024. godinu je došlo zbog promjene dinamike prilagodbe svakog pojedinog željezničkog graničnog prijelaza, a isto je uzrokovano dugotrajnošću postupaka javne nabave te naknadne izmjene projektne dokumentacije, temeljem izmjene planiranih radova i dugotrajne izrade projektne dokumentacije.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Broj prilagođenih željezničkih graničnih prijelaza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Provedene privremene mjere prilagodbe željezničkih graničnih prijelaza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T819078 OPREMANJE PRUGA UREĐAJEM ZA AUTOMATSKU ZAŠTITU VLAKA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T819078-OPREMANJE PRUGA UREĐAJEM ZA AUTOMATSKU ZAŠTITU VLAKA</w:t>
            </w:r>
          </w:p>
        </w:tc>
        <w:tc>
          <w:tcPr>
            <w:tcW w:w="2041" w:type="dxa"/>
          </w:tcPr>
          <w:p w:rsidR="00F244BA" w:rsidRDefault="00AC19E4">
            <w:pPr>
              <w:pStyle w:val="CellColumn"/>
              <w:jc w:val="right"/>
            </w:pPr>
            <w:r>
              <w:rPr>
                <w:rFonts w:cs="Times New Roman"/>
              </w:rPr>
              <w:t>124.368</w:t>
            </w:r>
          </w:p>
        </w:tc>
        <w:tc>
          <w:tcPr>
            <w:tcW w:w="2041" w:type="dxa"/>
          </w:tcPr>
          <w:p w:rsidR="00F244BA" w:rsidRDefault="00AC19E4">
            <w:pPr>
              <w:pStyle w:val="CellColumn"/>
              <w:jc w:val="right"/>
            </w:pPr>
            <w:r>
              <w:rPr>
                <w:rFonts w:cs="Times New Roman"/>
              </w:rPr>
              <w:t>136.456</w:t>
            </w:r>
          </w:p>
        </w:tc>
        <w:tc>
          <w:tcPr>
            <w:tcW w:w="2041" w:type="dxa"/>
          </w:tcPr>
          <w:p w:rsidR="00F244BA" w:rsidRDefault="00AC19E4">
            <w:pPr>
              <w:pStyle w:val="CellColumn"/>
              <w:jc w:val="right"/>
            </w:pPr>
            <w:r>
              <w:rPr>
                <w:rFonts w:cs="Times New Roman"/>
              </w:rPr>
              <w:t>136.456</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109,7</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Zakon o sigurnosti i interoperabilnosti željezničkog sustava, članak 84. stavak 3.</w:t>
      </w:r>
    </w:p>
    <w:p w:rsidR="00F244BA" w:rsidRDefault="00AC19E4">
      <w:pPr>
        <w:pStyle w:val="Naslov8"/>
        <w:jc w:val="left"/>
      </w:pPr>
      <w:r>
        <w:t>Opis aktivnosti</w:t>
      </w:r>
    </w:p>
    <w:p w:rsidR="00F244BA" w:rsidRDefault="00AC19E4">
      <w:r>
        <w:t xml:space="preserve">Tijekom 2024. godine doznačena proračunska sredstva društvu HŽ INFRASTRUKTURA d.o.o. u ukupnom iznosu od 136.455,65 € utrošena su za sljedeće namjene: </w:t>
      </w:r>
    </w:p>
    <w:p w:rsidR="00F244BA" w:rsidRDefault="00AC19E4">
      <w:r>
        <w:lastRenderedPageBreak/>
        <w:t>˗</w:t>
      </w:r>
      <w:r>
        <w:tab/>
        <w:t xml:space="preserve">nabavu trafo glavnog signala s nosačem i osiguračima </w:t>
      </w:r>
    </w:p>
    <w:p w:rsidR="00F244BA" w:rsidRDefault="00AC19E4">
      <w:r>
        <w:t>˗</w:t>
      </w:r>
      <w:r>
        <w:tab/>
        <w:t xml:space="preserve">nabavu rezervnih dijelova pružnih baliza. </w:t>
      </w:r>
    </w:p>
    <w:p w:rsidR="00F244BA" w:rsidRDefault="00AC19E4">
      <w:r>
        <w:t>Ostvarenje ciljane vrijednosti pokazatelja za 2024. godinu je prolongirano na 2025. godinu. Isto je uzrokovano promjenama u dinamici isporuke opreme (oprema isporučena tek tijekom studenog 2024. godine) kao i vremenskim uvjetima zbog kojih je došlo do promjene u dinamici ugradnje. Tijekom ožujka 2025. godine planirano je puštanje u rad 5 sustava za „automatsku zaštitu vlaka“, dok se preostalih 11 sustava planira ugraditi i pustiti u rad tijekom travnja 2025. godine. Polazna vrijednost pokazatelja rezultata „Opremljene pruge uređajem za automatsku zaštitu vlaka“ u trenutku izrade Financijskog plana Ministarstva, za razdoblje 2024. do 2026. godine iznosila je 16, međutim, društvo HŽ INFRASTRUKTURA d.o.o. je isti iskazalo u vrijednosti od 42 uređaja, budući da u polaznu vrijednost incijalno nije uzeta realizacija za 2023. godinu. Zaključno, vrijednost od 42 uređaja uključuje 16 uređaja ugrađenih u 2022. godini i 26 uređaja ugrađenih u 2023. godini.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Opremljene pruge uređajem za automatsku zaštitu vlaka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Provedeno opremanje postojećih željezničkih pruga uređajem za automatsku zaštitu vlaka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16</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16</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T820075 POTPORA DRUŠTVU HŽ INFRASTRUKTURA D.O.O. ZA OTPLATU ZAJMA IBRD</w:t>
      </w:r>
    </w:p>
    <w:tbl>
      <w:tblPr>
        <w:tblStyle w:val="StilTablice"/>
        <w:tblW w:w="10206" w:type="dxa"/>
        <w:jc w:val="center"/>
        <w:tblLook w:val="04A0" w:firstRow="1" w:lastRow="0" w:firstColumn="1" w:lastColumn="0" w:noHBand="0" w:noVBand="1"/>
      </w:tblPr>
      <w:tblGrid>
        <w:gridCol w:w="1915"/>
        <w:gridCol w:w="1958"/>
        <w:gridCol w:w="1959"/>
        <w:gridCol w:w="1959"/>
        <w:gridCol w:w="1203"/>
        <w:gridCol w:w="1212"/>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T820075-POTPORA DRUŠTVU HŽ INFRASTRUKTURA D.O.O. ZA OTPLATU ZAJMA IBRD</w:t>
            </w:r>
          </w:p>
        </w:tc>
        <w:tc>
          <w:tcPr>
            <w:tcW w:w="2041" w:type="dxa"/>
          </w:tcPr>
          <w:p w:rsidR="00F244BA" w:rsidRDefault="00AC19E4">
            <w:pPr>
              <w:pStyle w:val="CellColumn"/>
              <w:jc w:val="right"/>
            </w:pPr>
            <w:r>
              <w:rPr>
                <w:rFonts w:cs="Times New Roman"/>
              </w:rPr>
              <w:t>11.945.052</w:t>
            </w:r>
          </w:p>
        </w:tc>
        <w:tc>
          <w:tcPr>
            <w:tcW w:w="2041" w:type="dxa"/>
          </w:tcPr>
          <w:p w:rsidR="00F244BA" w:rsidRDefault="00AC19E4">
            <w:pPr>
              <w:pStyle w:val="CellColumn"/>
              <w:jc w:val="right"/>
            </w:pPr>
            <w:r>
              <w:rPr>
                <w:rFonts w:cs="Times New Roman"/>
              </w:rPr>
              <w:t>21.400.000</w:t>
            </w:r>
          </w:p>
        </w:tc>
        <w:tc>
          <w:tcPr>
            <w:tcW w:w="2041" w:type="dxa"/>
          </w:tcPr>
          <w:p w:rsidR="00F244BA" w:rsidRDefault="00AC19E4">
            <w:pPr>
              <w:pStyle w:val="CellColumn"/>
              <w:jc w:val="right"/>
            </w:pPr>
            <w:r>
              <w:rPr>
                <w:rFonts w:cs="Times New Roman"/>
              </w:rPr>
              <w:t>21.143.286</w:t>
            </w:r>
          </w:p>
        </w:tc>
        <w:tc>
          <w:tcPr>
            <w:tcW w:w="1224" w:type="dxa"/>
          </w:tcPr>
          <w:p w:rsidR="00F244BA" w:rsidRDefault="00AC19E4">
            <w:pPr>
              <w:pStyle w:val="CellColumn"/>
              <w:jc w:val="right"/>
            </w:pPr>
            <w:r>
              <w:rPr>
                <w:rFonts w:cs="Times New Roman"/>
              </w:rPr>
              <w:t>98,8</w:t>
            </w:r>
          </w:p>
        </w:tc>
        <w:tc>
          <w:tcPr>
            <w:tcW w:w="1224" w:type="dxa"/>
          </w:tcPr>
          <w:p w:rsidR="00F244BA" w:rsidRDefault="00AC19E4">
            <w:pPr>
              <w:pStyle w:val="CellColumn"/>
              <w:jc w:val="right"/>
            </w:pPr>
            <w:r>
              <w:rPr>
                <w:rFonts w:cs="Times New Roman"/>
              </w:rPr>
              <w:t>177,0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željeznici, članak 18., članak 19.  </w:t>
      </w:r>
    </w:p>
    <w:p w:rsidR="00F244BA" w:rsidRDefault="00AC19E4">
      <w:r>
        <w:t xml:space="preserve">- Strategija prometnog razvoja Republike Hrvatske za razdoblje od 2017. do 2030. godine  </w:t>
      </w:r>
    </w:p>
    <w:p w:rsidR="00F244BA" w:rsidRDefault="00AC19E4">
      <w:r>
        <w:t>- Zakon o potvrđivanju Ugovora o jamstvu između Republike Hrvatske i Svjetske banke za financiranje projekta održivih hrvatskih željeznica u Europi za društvo HŽ INFRASTRUKTURA d.o.o. na temelju čega je sklopljen Podugovor između Ministarstva mora, prometa i infrastrukture i HŽ INFRASTRUKTURA d.o.o. (zajam br. 8500-HR) (NN 5/15 – Međunarodni ugovori)</w:t>
      </w:r>
    </w:p>
    <w:p w:rsidR="00F244BA" w:rsidRDefault="00AC19E4">
      <w:pPr>
        <w:pStyle w:val="Naslov8"/>
        <w:jc w:val="left"/>
      </w:pPr>
      <w:r>
        <w:t>Opis aktivnosti</w:t>
      </w:r>
    </w:p>
    <w:p w:rsidR="00F244BA" w:rsidRDefault="00AC19E4">
      <w:r>
        <w:t xml:space="preserve">Tijekom 2024. godine doznačena proračunska sredstva društvu HŽ INFRASTRUKTURA d.o.o. u ukupnom iznosu od 21.143.286,43 € utrošena su za otplatu zajma IBRD 8500-HR u iznosu 79.000.000 €, sklopljenog dana 6. svibnja 2015. godine kako slijedi: </w:t>
      </w:r>
    </w:p>
    <w:p w:rsidR="00F244BA" w:rsidRDefault="00AC19E4">
      <w:r>
        <w:t>˗</w:t>
      </w:r>
      <w:r>
        <w:tab/>
        <w:t xml:space="preserve">obračun troškova glavnice, kamata i naknada do lipnja 2024. godine u iznosu 10.551.095,07 € </w:t>
      </w:r>
    </w:p>
    <w:p w:rsidR="00F244BA" w:rsidRDefault="00AC19E4">
      <w:r>
        <w:t>˗</w:t>
      </w:r>
      <w:r>
        <w:tab/>
        <w:t xml:space="preserve">obračun troškova glavnice, kamata i naknada do prosinca 2024. godine u iznosu 10.592.191,36 €. </w:t>
      </w:r>
    </w:p>
    <w:p w:rsidR="00F244BA" w:rsidRDefault="00AC19E4">
      <w:r>
        <w:t>S obzirom da je ukupna obveza za 2024. godinu za otplatu zajma IBRD 8500-HR manja od planiranih vrijednosti za 2024. godine, ostalo je neutrošeno 256.713,57 €.</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Udio isplaćene potpore u ukupno planiranom iznosu</w:t>
            </w:r>
          </w:p>
        </w:tc>
        <w:tc>
          <w:tcPr>
            <w:tcW w:w="2551" w:type="dxa"/>
          </w:tcPr>
          <w:p w:rsidR="00F244BA" w:rsidRDefault="00AC19E4">
            <w:pPr>
              <w:pStyle w:val="CellColumn"/>
              <w:jc w:val="left"/>
            </w:pPr>
            <w:r>
              <w:rPr>
                <w:rFonts w:cs="Times New Roman"/>
              </w:rPr>
              <w:t>Povećanje efikasnosti sustava kroz izgrađenost infrastrukturnih objekata, povećanje sigurnosti u željezničkom prometu i optimizaciju poslovanja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35,15</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78,22</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T821082 POTPORA U PROVEDBI NPOO PROJEKATA ŽELJEZNIČKOG SEKTORA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T821082-POTPORA U PROVEDBI NPOO PROJEKATA ŽELJEZNIČKOG SEKTORA</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803.750</w:t>
            </w:r>
          </w:p>
        </w:tc>
        <w:tc>
          <w:tcPr>
            <w:tcW w:w="2041" w:type="dxa"/>
          </w:tcPr>
          <w:p w:rsidR="00F244BA" w:rsidRDefault="00AC19E4">
            <w:pPr>
              <w:pStyle w:val="CellColumn"/>
              <w:jc w:val="right"/>
            </w:pPr>
            <w:r>
              <w:rPr>
                <w:rFonts w:cs="Times New Roman"/>
              </w:rPr>
              <w:t>803.750</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članak 18. </w:t>
      </w:r>
    </w:p>
    <w:p w:rsidR="00F244BA" w:rsidRDefault="00AC19E4">
      <w:r>
        <w:t>˗</w:t>
      </w:r>
      <w:r>
        <w:tab/>
        <w:t xml:space="preserve">Strategija prometnog razvoja Republike Hrvatske za razdoblje od 2017. do 2030. godine </w:t>
      </w:r>
    </w:p>
    <w:p w:rsidR="00F244BA" w:rsidRDefault="00AC19E4">
      <w:r>
        <w:t>˗</w:t>
      </w:r>
      <w:r>
        <w:tab/>
        <w:t xml:space="preserve">Nacionalna razvojna strategija Republike Hrvatske do 2030. godine (NRS 2030.) </w:t>
      </w:r>
    </w:p>
    <w:p w:rsidR="00F244BA" w:rsidRDefault="00AC19E4">
      <w:r>
        <w:t>˗</w:t>
      </w:r>
      <w:r>
        <w:tab/>
        <w:t xml:space="preserve">Nacionalni program reformi (NPR 2020.) </w:t>
      </w:r>
    </w:p>
    <w:p w:rsidR="00F244BA" w:rsidRDefault="00AC19E4">
      <w:r>
        <w:t>˗</w:t>
      </w:r>
      <w:r>
        <w:tab/>
        <w:t xml:space="preserve">Nacionalni plan oporavka i otpornosti 2021.-2026.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Ugovor o dodjeli bespovratnih sredstava za projekte financirane iz Nacionalnog plana oporavka i otpornosti 2021.-2026. (NPOO) za  Projekt „Uklanjanje "uskih grla" na željezničkoj infrastrukturi“; referentni broj: NPOO.C1.4.R2-I3.01.0001.</w:t>
      </w:r>
    </w:p>
    <w:p w:rsidR="00F244BA" w:rsidRDefault="00AC19E4">
      <w:pPr>
        <w:pStyle w:val="Naslov8"/>
        <w:jc w:val="left"/>
      </w:pPr>
      <w:r>
        <w:t>Opis aktivnosti</w:t>
      </w:r>
    </w:p>
    <w:p w:rsidR="00F244BA" w:rsidRDefault="00AC19E4">
      <w:r>
        <w:t xml:space="preserve">Tijekom 2024. godine doznačena proračunska sredstva društvu HŽ INFRASTRUKTURA d.o.o. za provedbu projekta „Uklanjanje „uskih grla“ na željezničkoj infrastrukturi" u ukupnom iznosu od 803.750 € utrošena su za sljedeće namjene: </w:t>
      </w:r>
    </w:p>
    <w:p w:rsidR="00F244BA" w:rsidRDefault="00AC19E4">
      <w:r>
        <w:t>˗</w:t>
      </w:r>
      <w:r>
        <w:tab/>
        <w:t xml:space="preserve">izvođenje radova na projektima </w:t>
      </w:r>
    </w:p>
    <w:p w:rsidR="00F244BA" w:rsidRDefault="00AC19E4">
      <w:r>
        <w:t>˗</w:t>
      </w:r>
      <w:r>
        <w:tab/>
        <w:t xml:space="preserve">uslugu nadzora nad izvođenjem radova. </w:t>
      </w:r>
    </w:p>
    <w:p w:rsidR="00F244BA" w:rsidRDefault="00AC19E4">
      <w:r>
        <w:t xml:space="preserve">Ostvarenje ciljane vrijednosti pokazatelja za 2024. godinu je prolongirano na 2025. godinu, a razlog tome je dugotrajnost postupaka javne nabave, nemogućnost odobravanja pravovremenog zatvora, što je utjecalo na planiranu </w:t>
      </w:r>
      <w:r>
        <w:lastRenderedPageBreak/>
        <w:t>dinamiku provedbe Projekta, a posebno u razdoblju od lipnja do rujna 2024. godine kada su prometovali sezonski i agencijski vlakovi. Prolongiranju ostvarenja pokazatelja doprinijela je i promjena dinamike ugovaranja dijela radova (ugovoreni su tek krajem 2024./početkom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Uklonjena „uska grla“ na dionicama s trenutačnim ograničenjem brzine prometovanja od 60 km/h </w:t>
            </w:r>
          </w:p>
          <w:p w:rsidR="00F244BA" w:rsidRDefault="00AC19E4">
            <w:pPr>
              <w:pStyle w:val="CellColumn"/>
              <w:jc w:val="left"/>
            </w:pPr>
            <w:r>
              <w:rPr>
                <w:rFonts w:cs="Times New Roman"/>
              </w:rPr>
              <w:t>(godišnja vrijednost)</w:t>
            </w:r>
          </w:p>
        </w:tc>
        <w:tc>
          <w:tcPr>
            <w:tcW w:w="2551" w:type="dxa"/>
          </w:tcPr>
          <w:p w:rsidR="00F244BA" w:rsidRDefault="00AC19E4">
            <w:pPr>
              <w:pStyle w:val="CellColumn"/>
              <w:jc w:val="left"/>
            </w:pPr>
            <w:r>
              <w:rPr>
                <w:rFonts w:cs="Times New Roman"/>
              </w:rPr>
              <w:t>Izvedeni radovi na uklanjanju „uskih grla“ s ciljem povećanje brzine prometovanja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HŽI</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3"/>
      </w:pPr>
      <w:r>
        <w:rPr>
          <w:rFonts w:cs="Times New Roman"/>
        </w:rPr>
        <w:t>3115 RAZVOJ UNUTARNJE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3115-RAZVOJ UNUTARNJE PLOVIDBE</w:t>
            </w:r>
          </w:p>
        </w:tc>
        <w:tc>
          <w:tcPr>
            <w:tcW w:w="2041" w:type="dxa"/>
          </w:tcPr>
          <w:p w:rsidR="00F244BA" w:rsidRDefault="00AC19E4">
            <w:pPr>
              <w:pStyle w:val="CellColumn"/>
              <w:jc w:val="right"/>
            </w:pPr>
            <w:r>
              <w:rPr>
                <w:rFonts w:cs="Times New Roman"/>
              </w:rPr>
              <w:t>2.362.877</w:t>
            </w:r>
          </w:p>
        </w:tc>
        <w:tc>
          <w:tcPr>
            <w:tcW w:w="2041" w:type="dxa"/>
          </w:tcPr>
          <w:p w:rsidR="00F244BA" w:rsidRDefault="00AC19E4">
            <w:pPr>
              <w:pStyle w:val="CellColumn"/>
              <w:jc w:val="right"/>
            </w:pPr>
            <w:r>
              <w:rPr>
                <w:rFonts w:cs="Times New Roman"/>
              </w:rPr>
              <w:t>6.296.079</w:t>
            </w:r>
          </w:p>
        </w:tc>
        <w:tc>
          <w:tcPr>
            <w:tcW w:w="2041" w:type="dxa"/>
          </w:tcPr>
          <w:p w:rsidR="00F244BA" w:rsidRDefault="00AC19E4">
            <w:pPr>
              <w:pStyle w:val="CellColumn"/>
              <w:jc w:val="right"/>
            </w:pPr>
            <w:r>
              <w:rPr>
                <w:rFonts w:cs="Times New Roman"/>
              </w:rPr>
              <w:t>3.296.736</w:t>
            </w:r>
          </w:p>
        </w:tc>
        <w:tc>
          <w:tcPr>
            <w:tcW w:w="1224" w:type="dxa"/>
          </w:tcPr>
          <w:p w:rsidR="00F244BA" w:rsidRDefault="00AC19E4">
            <w:pPr>
              <w:pStyle w:val="CellColumn"/>
              <w:jc w:val="right"/>
            </w:pPr>
            <w:r>
              <w:rPr>
                <w:rFonts w:cs="Times New Roman"/>
              </w:rPr>
              <w:t>52,4</w:t>
            </w:r>
          </w:p>
        </w:tc>
        <w:tc>
          <w:tcPr>
            <w:tcW w:w="1224" w:type="dxa"/>
          </w:tcPr>
          <w:p w:rsidR="00F244BA" w:rsidRDefault="00AC19E4">
            <w:pPr>
              <w:pStyle w:val="CellColumn"/>
              <w:jc w:val="right"/>
            </w:pPr>
            <w:r>
              <w:rPr>
                <w:rFonts w:cs="Times New Roman"/>
              </w:rPr>
              <w:t>139,5</w:t>
            </w:r>
          </w:p>
        </w:tc>
      </w:tr>
    </w:tbl>
    <w:p w:rsidR="00F244BA" w:rsidRDefault="00F244BA">
      <w:pPr>
        <w:jc w:val="left"/>
      </w:pPr>
    </w:p>
    <w:p w:rsidR="00F244BA" w:rsidRDefault="00AC19E4">
      <w:pPr>
        <w:pStyle w:val="Naslov8"/>
        <w:jc w:val="left"/>
      </w:pPr>
      <w:r>
        <w:t>Cilj 1. Razvijen sustav unutarnje plovidbe</w:t>
      </w:r>
    </w:p>
    <w:p w:rsidR="00F244BA" w:rsidRDefault="00AC19E4">
      <w:pPr>
        <w:pStyle w:val="Naslov8"/>
        <w:jc w:val="left"/>
      </w:pPr>
      <w:r>
        <w:t>Opis provedbe cilja programa</w:t>
      </w:r>
    </w:p>
    <w:p w:rsidR="00F244BA" w:rsidRDefault="00AC19E4">
      <w:r>
        <w:t xml:space="preserve">Provođenjem programa nastoje se iskoristiti svi potencijali unutarnje plovidbe u Republici Hrvatskoj sa što većim stupnjem efikasnosti, uz zadovoljavanje svih postavljenih parametara, kako bi se postigao visok stupanj prometne i gospodarske razvijenosti, koja je u skladu s politikom i smjernicama razvoja Europske unije.  </w:t>
      </w:r>
    </w:p>
    <w:p w:rsidR="00F244BA" w:rsidRDefault="00AC19E4">
      <w:r>
        <w:t xml:space="preserve">Dugoročni zadatak i cilj ovog Ministarstva je razvoj sustava unutarnje plovidbe kroz razvoj luka i plovnih putova. Kontinuirani razvoj sustava prometa na unutarnjim vodama povećava razinu sigurnosti, razvoj logističke mreže u lukama unutarnjih voda i razvoj brodarstva. Ovakvim načinom osigurava se održiv razvoj unutarnjeg prometa uz poštivanje visoke razine ekoloških standarda. </w:t>
      </w:r>
    </w:p>
    <w:p w:rsidR="00F244BA" w:rsidRDefault="00AC19E4">
      <w:r>
        <w:t xml:space="preserve">Za ostvarenje postavljenog cilja potrebno je sustavno provoditi ujednačen razvoj lučke infrastrukture, razvoj brodarstva, modernizaciju flote i plovnih objekata, razvoj informacijsko-komunikacijskih sustava, razvoj prometne povezanosti, osiguravanje visoke razine sigurnosti i zaštite okoliša u plovidbi i poticanje stručnog obrazovanja u unutarnjoj plovidbi. </w:t>
      </w:r>
    </w:p>
    <w:p w:rsidR="00F244BA" w:rsidRDefault="00AC19E4">
      <w:r>
        <w:t xml:space="preserve">U promicanju unutarnje plovidbe kao najisplativijeg oblika transporta, poseban naglasak treba staviti na činjenicu da se radi o ekološki najprihvatljivijem obliku prometa.  </w:t>
      </w:r>
    </w:p>
    <w:p w:rsidR="00F244BA" w:rsidRDefault="00AC19E4">
      <w:r>
        <w:t xml:space="preserve">U 2024. godini program je realiziran kroz sljedeću aktivnost: </w:t>
      </w:r>
    </w:p>
    <w:p w:rsidR="00F244BA" w:rsidRDefault="00AC19E4">
      <w:r>
        <w:t xml:space="preserve">- Pomoći jedinicama lokalne i područne (regionalne) samouprave za razvoj riječnog prometa, županijskih luka i pristaništa ostvarene su kroz sufinanciranje dijela troškova gradnje i troškova održavanja plovila, a sve u svrhu održavanja redovnog skelskog prijevoza putnika i tereta. </w:t>
      </w:r>
    </w:p>
    <w:p w:rsidR="00F244BA" w:rsidRDefault="00AC19E4">
      <w:r>
        <w:t xml:space="preserve">Provođenjem odredbi međunarodnog Ugovora, sufinanciran je rad i osiguran smještaj Savske komisije, čime je osigurano njeno sudjelovanje u radu međunarodnih institucija iz područja unutarnje plovidbe. </w:t>
      </w:r>
    </w:p>
    <w:p w:rsidR="00F244BA" w:rsidRDefault="00AC19E4">
      <w:r>
        <w:t xml:space="preserve">Riječni promet je od ključnog značaja za razvoj nedovoljno razvijenih regija s posebnim naglaskom na gospodarsko područje oko rijeke Save gdje se transport roba tradicionalno nije usmjeravao na riječni promet. U ovom kontekstu bi se razvoj mreže vodnih putova na rijeci Savi mogao promatrati kao nacionalni prioritet, budući da će povećanje učinkovitosti prometnog sustava u Republici Hrvatskoj ujedno doprinijeti razvoju gospodarstva u jednoj od najslabije razvijenih regija koja zapravo ima ogroman potencijal. </w:t>
      </w:r>
    </w:p>
    <w:p w:rsidR="00F244BA" w:rsidRDefault="00AC19E4">
      <w:r>
        <w:lastRenderedPageBreak/>
        <w:t xml:space="preserve">Glavna pozornost u razvoju ovoga vida prometa će biti usmjerena ka poboljšanjima vezanim uz TEN-T koridor VII, rijeku Dunav s pripadajućim pritokama (rijeke Save i Drave). </w:t>
      </w:r>
    </w:p>
    <w:p w:rsidR="00F244BA" w:rsidRDefault="00AC19E4">
      <w:r>
        <w:t>Vidljiv je pad ostvarenih vrijednosti u odnosu na planirane u količini prekrcanog tereta u lukama unutarnjih voda koji je odraz promjena geopolitičke situacije i rata u Ukrajini te smanjenja ljudskih resursa i narušenosti logističkog sustava u cijelom svijetu.</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Povećana količina prekrcajnog tereta u lukama unutarnjih voda</w:t>
            </w:r>
          </w:p>
        </w:tc>
        <w:tc>
          <w:tcPr>
            <w:tcW w:w="2551" w:type="dxa"/>
          </w:tcPr>
          <w:p w:rsidR="00F244BA" w:rsidRDefault="00AC19E4">
            <w:pPr>
              <w:pStyle w:val="CellColumn"/>
              <w:jc w:val="left"/>
            </w:pPr>
            <w:r>
              <w:rPr>
                <w:rFonts w:cs="Times New Roman"/>
              </w:rPr>
              <w:t>Ukupna količina prekrcajnog tereta u lukama unutarnjih voda</w:t>
            </w:r>
          </w:p>
        </w:tc>
        <w:tc>
          <w:tcPr>
            <w:tcW w:w="1020" w:type="dxa"/>
          </w:tcPr>
          <w:p w:rsidR="00F244BA" w:rsidRDefault="00AC19E4">
            <w:pPr>
              <w:pStyle w:val="CellColumn"/>
              <w:jc w:val="right"/>
            </w:pPr>
            <w:r>
              <w:rPr>
                <w:rFonts w:cs="Times New Roman"/>
              </w:rPr>
              <w:t>tona</w:t>
            </w:r>
          </w:p>
        </w:tc>
        <w:tc>
          <w:tcPr>
            <w:tcW w:w="1020" w:type="dxa"/>
          </w:tcPr>
          <w:p w:rsidR="00F244BA" w:rsidRDefault="00AC19E4">
            <w:pPr>
              <w:pStyle w:val="CellColumn"/>
              <w:jc w:val="right"/>
            </w:pPr>
            <w:r>
              <w:rPr>
                <w:rFonts w:cs="Times New Roman"/>
              </w:rPr>
              <w:t>819.013</w:t>
            </w:r>
          </w:p>
        </w:tc>
        <w:tc>
          <w:tcPr>
            <w:tcW w:w="1020" w:type="dxa"/>
          </w:tcPr>
          <w:p w:rsidR="00F244BA" w:rsidRDefault="00AC19E4">
            <w:pPr>
              <w:pStyle w:val="CellColumn"/>
              <w:jc w:val="right"/>
            </w:pPr>
            <w:r>
              <w:rPr>
                <w:rFonts w:cs="Times New Roman"/>
              </w:rPr>
              <w:t xml:space="preserve">Lučke uprave </w:t>
            </w:r>
          </w:p>
          <w:p w:rsidR="00F244BA" w:rsidRDefault="00AC19E4">
            <w:pPr>
              <w:pStyle w:val="CellColumn"/>
              <w:jc w:val="right"/>
            </w:pPr>
            <w:r>
              <w:rPr>
                <w:rFonts w:cs="Times New Roman"/>
              </w:rPr>
              <w:t xml:space="preserve">unutarnjih voda </w:t>
            </w:r>
          </w:p>
          <w:p w:rsidR="00F244BA" w:rsidRDefault="00AC19E4">
            <w:pPr>
              <w:pStyle w:val="CellColumn"/>
              <w:jc w:val="right"/>
            </w:pPr>
            <w:r>
              <w:rPr>
                <w:rFonts w:cs="Times New Roman"/>
              </w:rPr>
              <w:t xml:space="preserve">(Vukovar, </w:t>
            </w:r>
          </w:p>
          <w:p w:rsidR="00F244BA" w:rsidRDefault="00AC19E4">
            <w:pPr>
              <w:pStyle w:val="CellColumn"/>
              <w:jc w:val="right"/>
            </w:pPr>
            <w:r>
              <w:rPr>
                <w:rFonts w:cs="Times New Roman"/>
              </w:rPr>
              <w:t xml:space="preserve">Osijek, </w:t>
            </w:r>
          </w:p>
          <w:p w:rsidR="00F244BA" w:rsidRDefault="00AC19E4">
            <w:pPr>
              <w:pStyle w:val="CellColumn"/>
              <w:jc w:val="right"/>
            </w:pPr>
            <w:r>
              <w:rPr>
                <w:rFonts w:cs="Times New Roman"/>
              </w:rPr>
              <w:t xml:space="preserve">Slavonski </w:t>
            </w:r>
          </w:p>
          <w:p w:rsidR="00F244BA" w:rsidRDefault="00AC19E4">
            <w:pPr>
              <w:pStyle w:val="CellColumn"/>
              <w:jc w:val="right"/>
            </w:pPr>
            <w:r>
              <w:rPr>
                <w:rFonts w:cs="Times New Roman"/>
              </w:rPr>
              <w:t xml:space="preserve">Brod, </w:t>
            </w:r>
          </w:p>
          <w:p w:rsidR="00F244BA" w:rsidRDefault="00AC19E4">
            <w:pPr>
              <w:pStyle w:val="CellColumn"/>
              <w:jc w:val="right"/>
            </w:pPr>
            <w:r>
              <w:rPr>
                <w:rFonts w:cs="Times New Roman"/>
              </w:rPr>
              <w:t>Sisak)</w:t>
            </w:r>
          </w:p>
        </w:tc>
        <w:tc>
          <w:tcPr>
            <w:tcW w:w="1020" w:type="dxa"/>
          </w:tcPr>
          <w:p w:rsidR="00F244BA" w:rsidRDefault="00AC19E4">
            <w:pPr>
              <w:pStyle w:val="CellColumn"/>
              <w:jc w:val="right"/>
            </w:pPr>
            <w:r>
              <w:rPr>
                <w:rFonts w:cs="Times New Roman"/>
              </w:rPr>
              <w:t>950.000</w:t>
            </w:r>
          </w:p>
        </w:tc>
        <w:tc>
          <w:tcPr>
            <w:tcW w:w="1020" w:type="dxa"/>
          </w:tcPr>
          <w:p w:rsidR="00F244BA" w:rsidRDefault="00AC19E4">
            <w:pPr>
              <w:pStyle w:val="CellColumn"/>
              <w:jc w:val="right"/>
            </w:pPr>
            <w:r>
              <w:rPr>
                <w:rFonts w:cs="Times New Roman"/>
              </w:rPr>
              <w:t>458.084</w:t>
            </w:r>
          </w:p>
        </w:tc>
      </w:tr>
      <w:tr w:rsidR="00F244BA">
        <w:trPr>
          <w:jc w:val="center"/>
        </w:trPr>
        <w:tc>
          <w:tcPr>
            <w:tcW w:w="2551" w:type="dxa"/>
          </w:tcPr>
          <w:p w:rsidR="00F244BA" w:rsidRDefault="00AC19E4">
            <w:pPr>
              <w:pStyle w:val="CellColumn"/>
              <w:jc w:val="left"/>
            </w:pPr>
            <w:r>
              <w:rPr>
                <w:rFonts w:cs="Times New Roman"/>
              </w:rPr>
              <w:t xml:space="preserve">Povećan broj putnika u </w:t>
            </w:r>
          </w:p>
          <w:p w:rsidR="00F244BA" w:rsidRDefault="00AC19E4">
            <w:pPr>
              <w:pStyle w:val="CellColumn"/>
              <w:jc w:val="left"/>
            </w:pPr>
            <w:r>
              <w:rPr>
                <w:rFonts w:cs="Times New Roman"/>
              </w:rPr>
              <w:t xml:space="preserve">pristaništima unutarnjih </w:t>
            </w:r>
          </w:p>
          <w:p w:rsidR="00F244BA" w:rsidRDefault="00AC19E4">
            <w:pPr>
              <w:pStyle w:val="CellColumn"/>
              <w:jc w:val="left"/>
            </w:pPr>
            <w:r>
              <w:rPr>
                <w:rFonts w:cs="Times New Roman"/>
              </w:rPr>
              <w:t>voda</w:t>
            </w:r>
          </w:p>
        </w:tc>
        <w:tc>
          <w:tcPr>
            <w:tcW w:w="2551" w:type="dxa"/>
          </w:tcPr>
          <w:p w:rsidR="00F244BA" w:rsidRDefault="00AC19E4">
            <w:pPr>
              <w:pStyle w:val="CellColumn"/>
              <w:jc w:val="left"/>
            </w:pPr>
            <w:r>
              <w:rPr>
                <w:rFonts w:cs="Times New Roman"/>
              </w:rPr>
              <w:t xml:space="preserve">Ukupna količina </w:t>
            </w:r>
          </w:p>
          <w:p w:rsidR="00F244BA" w:rsidRDefault="00AC19E4">
            <w:pPr>
              <w:pStyle w:val="CellColumn"/>
              <w:jc w:val="left"/>
            </w:pPr>
            <w:r>
              <w:rPr>
                <w:rFonts w:cs="Times New Roman"/>
              </w:rPr>
              <w:t xml:space="preserve">prevezenih putnika u </w:t>
            </w:r>
          </w:p>
          <w:p w:rsidR="00F244BA" w:rsidRDefault="00AC19E4">
            <w:pPr>
              <w:pStyle w:val="CellColumn"/>
              <w:jc w:val="left"/>
            </w:pPr>
            <w:r>
              <w:rPr>
                <w:rFonts w:cs="Times New Roman"/>
              </w:rPr>
              <w:t xml:space="preserve">domaćem i međunarodnom prometu u pristaništima unutarnjih </w:t>
            </w:r>
          </w:p>
          <w:p w:rsidR="00F244BA" w:rsidRDefault="00AC19E4">
            <w:pPr>
              <w:pStyle w:val="CellColumn"/>
              <w:jc w:val="left"/>
            </w:pPr>
            <w:r>
              <w:rPr>
                <w:rFonts w:cs="Times New Roman"/>
              </w:rPr>
              <w:t>voda</w:t>
            </w:r>
          </w:p>
        </w:tc>
        <w:tc>
          <w:tcPr>
            <w:tcW w:w="1020" w:type="dxa"/>
          </w:tcPr>
          <w:p w:rsidR="00F244BA" w:rsidRDefault="00AC19E4">
            <w:pPr>
              <w:pStyle w:val="CellColumn"/>
              <w:jc w:val="right"/>
            </w:pPr>
            <w:r>
              <w:rPr>
                <w:rFonts w:cs="Times New Roman"/>
              </w:rPr>
              <w:t>broj putnika</w:t>
            </w:r>
          </w:p>
        </w:tc>
        <w:tc>
          <w:tcPr>
            <w:tcW w:w="1020" w:type="dxa"/>
          </w:tcPr>
          <w:p w:rsidR="00F244BA" w:rsidRDefault="00AC19E4">
            <w:pPr>
              <w:pStyle w:val="CellColumn"/>
              <w:jc w:val="right"/>
            </w:pPr>
            <w:r>
              <w:rPr>
                <w:rFonts w:cs="Times New Roman"/>
              </w:rPr>
              <w:t>1.150.612</w:t>
            </w:r>
          </w:p>
        </w:tc>
        <w:tc>
          <w:tcPr>
            <w:tcW w:w="1020" w:type="dxa"/>
          </w:tcPr>
          <w:p w:rsidR="00F244BA" w:rsidRDefault="00AC19E4">
            <w:pPr>
              <w:pStyle w:val="CellColumn"/>
              <w:jc w:val="right"/>
            </w:pPr>
            <w:r>
              <w:rPr>
                <w:rFonts w:cs="Times New Roman"/>
              </w:rPr>
              <w:t xml:space="preserve">Lučke uprave </w:t>
            </w:r>
          </w:p>
          <w:p w:rsidR="00F244BA" w:rsidRDefault="00AC19E4">
            <w:pPr>
              <w:pStyle w:val="CellColumn"/>
              <w:jc w:val="right"/>
            </w:pPr>
            <w:r>
              <w:rPr>
                <w:rFonts w:cs="Times New Roman"/>
              </w:rPr>
              <w:t xml:space="preserve">unutarnjih voda </w:t>
            </w:r>
          </w:p>
          <w:p w:rsidR="00F244BA" w:rsidRDefault="00AC19E4">
            <w:pPr>
              <w:pStyle w:val="CellColumn"/>
              <w:jc w:val="right"/>
            </w:pPr>
            <w:r>
              <w:rPr>
                <w:rFonts w:cs="Times New Roman"/>
              </w:rPr>
              <w:t xml:space="preserve">(Vukovar, </w:t>
            </w:r>
          </w:p>
          <w:p w:rsidR="00F244BA" w:rsidRDefault="00AC19E4">
            <w:pPr>
              <w:pStyle w:val="CellColumn"/>
              <w:jc w:val="right"/>
            </w:pPr>
            <w:r>
              <w:rPr>
                <w:rFonts w:cs="Times New Roman"/>
              </w:rPr>
              <w:t xml:space="preserve">Osijek, </w:t>
            </w:r>
          </w:p>
          <w:p w:rsidR="00F244BA" w:rsidRDefault="00AC19E4">
            <w:pPr>
              <w:pStyle w:val="CellColumn"/>
              <w:jc w:val="right"/>
            </w:pPr>
            <w:r>
              <w:rPr>
                <w:rFonts w:cs="Times New Roman"/>
              </w:rPr>
              <w:t xml:space="preserve">Slavonski </w:t>
            </w:r>
          </w:p>
          <w:p w:rsidR="00F244BA" w:rsidRDefault="00AC19E4">
            <w:pPr>
              <w:pStyle w:val="CellColumn"/>
              <w:jc w:val="right"/>
            </w:pPr>
            <w:r>
              <w:rPr>
                <w:rFonts w:cs="Times New Roman"/>
              </w:rPr>
              <w:t xml:space="preserve">Brod, </w:t>
            </w:r>
          </w:p>
          <w:p w:rsidR="00F244BA" w:rsidRDefault="00AC19E4">
            <w:pPr>
              <w:pStyle w:val="CellColumn"/>
              <w:jc w:val="right"/>
            </w:pPr>
            <w:r>
              <w:rPr>
                <w:rFonts w:cs="Times New Roman"/>
              </w:rPr>
              <w:t>Sisak)</w:t>
            </w:r>
          </w:p>
        </w:tc>
        <w:tc>
          <w:tcPr>
            <w:tcW w:w="1020" w:type="dxa"/>
          </w:tcPr>
          <w:p w:rsidR="00F244BA" w:rsidRDefault="00AC19E4">
            <w:pPr>
              <w:pStyle w:val="CellColumn"/>
              <w:jc w:val="right"/>
            </w:pPr>
            <w:r>
              <w:rPr>
                <w:rFonts w:cs="Times New Roman"/>
              </w:rPr>
              <w:t>1.255.000</w:t>
            </w:r>
          </w:p>
        </w:tc>
        <w:tc>
          <w:tcPr>
            <w:tcW w:w="1020" w:type="dxa"/>
          </w:tcPr>
          <w:p w:rsidR="00F244BA" w:rsidRDefault="00AC19E4">
            <w:pPr>
              <w:pStyle w:val="CellColumn"/>
              <w:jc w:val="right"/>
            </w:pPr>
            <w:r>
              <w:rPr>
                <w:rFonts w:cs="Times New Roman"/>
              </w:rPr>
              <w:t>1.485.717</w:t>
            </w:r>
          </w:p>
        </w:tc>
      </w:tr>
    </w:tbl>
    <w:p w:rsidR="00F244BA" w:rsidRDefault="00F244BA">
      <w:pPr>
        <w:jc w:val="left"/>
      </w:pPr>
    </w:p>
    <w:p w:rsidR="00F244BA" w:rsidRDefault="00AC19E4">
      <w:pPr>
        <w:pStyle w:val="Naslov4"/>
      </w:pPr>
      <w:r>
        <w:t>A570445 POMOĆ JEDINICAMA LOKALNE I REGIONALNE SAMOUPRAVE ZA RAZVOJ RIJEČNOG PROMETA I ŽUPANIJSKIH LUKA I PRISTANIŠTA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A570445-POMOĆ JEDINICAMA LOKALNE I REGIONALNE SAMOUPRAVE ZA RAZVOJ RIJEČNOG PROMETA I ŽUPANIJSKIH LUKA I PRISTANIŠTA</w:t>
            </w:r>
          </w:p>
        </w:tc>
        <w:tc>
          <w:tcPr>
            <w:tcW w:w="2041" w:type="dxa"/>
          </w:tcPr>
          <w:p w:rsidR="00F244BA" w:rsidRDefault="00AC19E4">
            <w:pPr>
              <w:pStyle w:val="CellColumn"/>
              <w:jc w:val="right"/>
            </w:pPr>
            <w:r>
              <w:rPr>
                <w:rFonts w:cs="Times New Roman"/>
              </w:rPr>
              <w:t>180.842</w:t>
            </w:r>
          </w:p>
        </w:tc>
        <w:tc>
          <w:tcPr>
            <w:tcW w:w="2041" w:type="dxa"/>
          </w:tcPr>
          <w:p w:rsidR="00F244BA" w:rsidRDefault="00AC19E4">
            <w:pPr>
              <w:pStyle w:val="CellColumn"/>
              <w:jc w:val="right"/>
            </w:pPr>
            <w:r>
              <w:rPr>
                <w:rFonts w:cs="Times New Roman"/>
              </w:rPr>
              <w:t>518.400</w:t>
            </w:r>
          </w:p>
        </w:tc>
        <w:tc>
          <w:tcPr>
            <w:tcW w:w="2041" w:type="dxa"/>
          </w:tcPr>
          <w:p w:rsidR="00F244BA" w:rsidRDefault="00AC19E4">
            <w:pPr>
              <w:pStyle w:val="CellColumn"/>
              <w:jc w:val="right"/>
            </w:pPr>
            <w:r>
              <w:rPr>
                <w:rFonts w:cs="Times New Roman"/>
              </w:rPr>
              <w:t>445.400</w:t>
            </w:r>
          </w:p>
        </w:tc>
        <w:tc>
          <w:tcPr>
            <w:tcW w:w="1224" w:type="dxa"/>
          </w:tcPr>
          <w:p w:rsidR="00F244BA" w:rsidRDefault="00AC19E4">
            <w:pPr>
              <w:pStyle w:val="CellColumn"/>
              <w:jc w:val="right"/>
            </w:pPr>
            <w:r>
              <w:rPr>
                <w:rFonts w:cs="Times New Roman"/>
              </w:rPr>
              <w:t>85,9</w:t>
            </w:r>
          </w:p>
        </w:tc>
        <w:tc>
          <w:tcPr>
            <w:tcW w:w="1224" w:type="dxa"/>
          </w:tcPr>
          <w:p w:rsidR="00F244BA" w:rsidRDefault="00AC19E4">
            <w:pPr>
              <w:pStyle w:val="CellColumn"/>
              <w:jc w:val="right"/>
            </w:pPr>
            <w:r>
              <w:rPr>
                <w:rFonts w:cs="Times New Roman"/>
              </w:rPr>
              <w:t>246,3</w:t>
            </w:r>
          </w:p>
        </w:tc>
      </w:tr>
    </w:tbl>
    <w:p w:rsidR="00F244BA" w:rsidRDefault="00F244BA">
      <w:pPr>
        <w:jc w:val="left"/>
      </w:pPr>
    </w:p>
    <w:p w:rsidR="00F244BA" w:rsidRDefault="00AC19E4">
      <w:pPr>
        <w:pStyle w:val="Naslov8"/>
        <w:jc w:val="left"/>
      </w:pPr>
      <w:r>
        <w:lastRenderedPageBreak/>
        <w:t>Zakonske i druge pravne osnove</w:t>
      </w:r>
    </w:p>
    <w:p w:rsidR="00F244BA" w:rsidRDefault="00AC19E4">
      <w:r>
        <w:t xml:space="preserve">- Zakon o plovidbi i lukama unutarnjih voda; članak 2. </w:t>
      </w:r>
    </w:p>
    <w:p w:rsidR="00F244BA" w:rsidRDefault="00AC19E4">
      <w:r>
        <w:t xml:space="preserve">- Pravilnik o plovidbi na unutarnjim vodama; članak 11.11, stavak 15. </w:t>
      </w:r>
    </w:p>
    <w:p w:rsidR="00F244BA" w:rsidRDefault="00AC19E4">
      <w:r>
        <w:t xml:space="preserve">- Odluka o sufinanciranju troškova vezanih uz plovila za prijevoz putnika i roba na unutarnjim vodama  </w:t>
      </w:r>
    </w:p>
    <w:p w:rsidR="00F244BA" w:rsidRDefault="00AC19E4">
      <w:r>
        <w:t>- Ugovor o sufinanciranju troškova vezanih uz plovila za prijevoz putnika i roba na unutarnjim vodama</w:t>
      </w:r>
    </w:p>
    <w:p w:rsidR="00F244BA" w:rsidRDefault="00AC19E4">
      <w:pPr>
        <w:pStyle w:val="Naslov8"/>
        <w:jc w:val="left"/>
      </w:pPr>
      <w:r>
        <w:t>Opis aktivnosti</w:t>
      </w:r>
    </w:p>
    <w:p w:rsidR="00F244BA" w:rsidRDefault="00AC19E4">
      <w:r>
        <w:t xml:space="preserve">Tijekom 2024. godine objavljena su dva poziva za dodjelu pomoći jedinicama lokalne i područne (regionalne) samouprave kroz tekuća i kapitalna ulaganja u plovila za prijevoz putnika i roba temeljem kojeg su dodijeljene pomoći za ukupno 8 plovila, čime se osigurao kontinuirani prijevoz putnika i roba na unutarnjim vodama u naseljenim područjima gdje nije izgrađena cestovna infrastruktura (mostovi), a sve s ciljem poticanja bolje prometne povezanosti. </w:t>
      </w:r>
    </w:p>
    <w:p w:rsidR="00F244BA" w:rsidRDefault="00AC19E4">
      <w:r>
        <w:t xml:space="preserve">Pomoć je dodijeljena: </w:t>
      </w:r>
    </w:p>
    <w:p w:rsidR="00F244BA" w:rsidRDefault="00AC19E4">
      <w:r>
        <w:t xml:space="preserve">- gradu Mursko Središće u iznosu od 282.379,94 € za Malu skelu Mursko Središće (za izradu projektne dokumentacije)  i nabavku Nove skele Križovec uz prethodnu izradu projektno tehničke dokumentacije; </w:t>
      </w:r>
    </w:p>
    <w:p w:rsidR="00F244BA" w:rsidRDefault="00AC19E4">
      <w:r>
        <w:t xml:space="preserve">- općini Sveti Martin na Muri u iznosu od 24.957,29 € za troškove nabavke čamca s motorom, za potrebe sufinanciranja opremanja skela opremom (radna odjeća i obuća) te za obnovu prilazno utovarnih rampi i obnovni pregled plovila i nabavu čeličnih užadi i kolotura; </w:t>
      </w:r>
    </w:p>
    <w:p w:rsidR="00F244BA" w:rsidRDefault="00AC19E4">
      <w:r>
        <w:t xml:space="preserve">- općini Ferdinandovac u iznosu od 745,54 € za sufinanciranje godišnjeg pregleda skele; </w:t>
      </w:r>
    </w:p>
    <w:p w:rsidR="00F244BA" w:rsidRDefault="00AC19E4">
      <w:r>
        <w:t xml:space="preserve">- općini Martinska Ves iznosu od 66.109,50 € za sufinanciranje tekućih operativnih troškova plaća za 5 skelara; </w:t>
      </w:r>
    </w:p>
    <w:p w:rsidR="00F244BA" w:rsidRDefault="00AC19E4">
      <w:r>
        <w:t>- općini Pitomača u iznosu od 71.207,61 € za operativne troškove plaća za 5 skelara te nabavku propelera i daljinskih komandi i druge potrebne opreme.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 xml:space="preserve">Pokazatelj rezultata </w:t>
            </w:r>
          </w:p>
          <w:p w:rsidR="00F244BA" w:rsidRDefault="00AC19E4">
            <w:pPr>
              <w:pStyle w:val="CellColumn"/>
              <w:jc w:val="left"/>
            </w:pPr>
            <w:r>
              <w:rPr>
                <w:rFonts w:cs="Times New Roman"/>
              </w:rPr>
              <w:t>Broj plovila u vlasništvu jedinica lokalne i regionalne samouprave kojima se dodjeljuje pomoć</w:t>
            </w:r>
          </w:p>
        </w:tc>
        <w:tc>
          <w:tcPr>
            <w:tcW w:w="2551" w:type="dxa"/>
          </w:tcPr>
          <w:p w:rsidR="00F244BA" w:rsidRDefault="00AC19E4">
            <w:pPr>
              <w:pStyle w:val="CellColumn"/>
              <w:jc w:val="left"/>
            </w:pPr>
            <w:r>
              <w:rPr>
                <w:rFonts w:cs="Times New Roman"/>
              </w:rPr>
              <w:t>Ulaganjem u plovila za prijevoz putnika i roba u vlasništvu jedinica lokalne i regionalne samouprave osigurava se optimalna razina kvalitete povezanosti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7</w:t>
            </w:r>
          </w:p>
        </w:tc>
        <w:tc>
          <w:tcPr>
            <w:tcW w:w="1020" w:type="dxa"/>
          </w:tcPr>
          <w:p w:rsidR="00F244BA" w:rsidRDefault="00AC19E4">
            <w:pPr>
              <w:pStyle w:val="CellColumn"/>
              <w:jc w:val="right"/>
            </w:pPr>
            <w:r>
              <w:rPr>
                <w:rFonts w:cs="Times New Roman"/>
              </w:rPr>
              <w:t>8</w:t>
            </w:r>
          </w:p>
        </w:tc>
      </w:tr>
    </w:tbl>
    <w:p w:rsidR="00F244BA" w:rsidRDefault="00F244BA">
      <w:pPr>
        <w:jc w:val="left"/>
      </w:pPr>
    </w:p>
    <w:p w:rsidR="00F244BA" w:rsidRDefault="00AC19E4">
      <w:pPr>
        <w:pStyle w:val="Naslov4"/>
      </w:pPr>
      <w:r>
        <w:t>A754036 PRIPREMA PROJEKATA I PLANSKIH DOKUMENATA U UNUTARNJOJ PLOVIDBI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A754036-PRIPREMA PROJEKATA I PLANSKIH DOKUMENATA U UNUTARNJOJ PLOVIDBI</w:t>
            </w:r>
          </w:p>
        </w:tc>
        <w:tc>
          <w:tcPr>
            <w:tcW w:w="2041" w:type="dxa"/>
          </w:tcPr>
          <w:p w:rsidR="00F244BA" w:rsidRDefault="00AC19E4">
            <w:pPr>
              <w:pStyle w:val="CellColumn"/>
              <w:jc w:val="right"/>
            </w:pPr>
            <w:r>
              <w:rPr>
                <w:rFonts w:cs="Times New Roman"/>
              </w:rPr>
              <w:t>29.730</w:t>
            </w:r>
          </w:p>
        </w:tc>
        <w:tc>
          <w:tcPr>
            <w:tcW w:w="2041" w:type="dxa"/>
          </w:tcPr>
          <w:p w:rsidR="00F244BA" w:rsidRDefault="00AC19E4">
            <w:pPr>
              <w:pStyle w:val="CellColumn"/>
              <w:jc w:val="right"/>
            </w:pPr>
            <w:r>
              <w:rPr>
                <w:rFonts w:cs="Times New Roman"/>
              </w:rPr>
              <w:t>469.025</w:t>
            </w:r>
          </w:p>
        </w:tc>
        <w:tc>
          <w:tcPr>
            <w:tcW w:w="2041" w:type="dxa"/>
          </w:tcPr>
          <w:p w:rsidR="00F244BA" w:rsidRDefault="00AC19E4">
            <w:pPr>
              <w:pStyle w:val="CellColumn"/>
              <w:jc w:val="right"/>
            </w:pPr>
            <w:r>
              <w:rPr>
                <w:rFonts w:cs="Times New Roman"/>
              </w:rPr>
              <w:t>41.125</w:t>
            </w:r>
          </w:p>
        </w:tc>
        <w:tc>
          <w:tcPr>
            <w:tcW w:w="1224" w:type="dxa"/>
          </w:tcPr>
          <w:p w:rsidR="00F244BA" w:rsidRDefault="00AC19E4">
            <w:pPr>
              <w:pStyle w:val="CellColumn"/>
              <w:jc w:val="right"/>
            </w:pPr>
            <w:r>
              <w:rPr>
                <w:rFonts w:cs="Times New Roman"/>
              </w:rPr>
              <w:t>8,8</w:t>
            </w:r>
          </w:p>
        </w:tc>
        <w:tc>
          <w:tcPr>
            <w:tcW w:w="1224" w:type="dxa"/>
          </w:tcPr>
          <w:p w:rsidR="00F244BA" w:rsidRDefault="00AC19E4">
            <w:pPr>
              <w:pStyle w:val="CellColumn"/>
              <w:jc w:val="right"/>
            </w:pPr>
            <w:r>
              <w:rPr>
                <w:rFonts w:cs="Times New Roman"/>
              </w:rPr>
              <w:t>138,3</w:t>
            </w:r>
          </w:p>
        </w:tc>
      </w:tr>
    </w:tbl>
    <w:p w:rsidR="00F244BA" w:rsidRDefault="00F244BA">
      <w:pPr>
        <w:jc w:val="left"/>
      </w:pPr>
    </w:p>
    <w:p w:rsidR="00F244BA" w:rsidRDefault="00AC19E4">
      <w:pPr>
        <w:pStyle w:val="Naslov8"/>
        <w:jc w:val="left"/>
      </w:pPr>
      <w:r>
        <w:lastRenderedPageBreak/>
        <w:t>Zakonske i druge pravne osnove</w:t>
      </w:r>
    </w:p>
    <w:p w:rsidR="00F244BA" w:rsidRDefault="00AC19E4">
      <w:r>
        <w:t xml:space="preserve">- Zakon o plovidbi i lukama unutarnjih voda  </w:t>
      </w:r>
    </w:p>
    <w:p w:rsidR="00F244BA" w:rsidRDefault="00AC19E4">
      <w:r>
        <w:t>- Strategija prometnog razvoja Republike Hrvatske za razdoblje od 2014. do 2030. godine</w:t>
      </w:r>
    </w:p>
    <w:p w:rsidR="00F244BA" w:rsidRDefault="00AC19E4">
      <w:pPr>
        <w:pStyle w:val="Naslov8"/>
        <w:jc w:val="left"/>
      </w:pPr>
      <w:r>
        <w:t>Opis aktivnosti</w:t>
      </w:r>
    </w:p>
    <w:p w:rsidR="00F244BA" w:rsidRDefault="00AC19E4">
      <w:r>
        <w:t xml:space="preserve">Tijekom 2024. godine za potrebe izrade Programa dodjele de minimis potpora (potpora male vrijednosti) za ulaganja u djelatnosti prometa na unutarnjim vodama (rijekama, kanalima i jezerima), utrošena su financijska sredstva u iznosu od 8.750 €, dok se za izradu studijsko projektne dokumentacije „Koncept uspostave riječne plovidbe s pratećom prometnom infrastrukturom na rijeci Zrmanji od Obrovca do Jankovića Buka“ utrošilo 32.375,00 €. </w:t>
      </w:r>
    </w:p>
    <w:p w:rsidR="00F244BA" w:rsidRDefault="00AC19E4">
      <w:r>
        <w:t>Odstupanja ostvarene vrijednosti u odnosu na ciljanu vrijednost rezultat je dugotrajnih i kompliciranih postupaka javne nabave.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pripremljenih/izrađenih projekata, planskih/strateških dokumenata</w:t>
            </w:r>
          </w:p>
        </w:tc>
        <w:tc>
          <w:tcPr>
            <w:tcW w:w="2551" w:type="dxa"/>
          </w:tcPr>
          <w:p w:rsidR="00F244BA" w:rsidRDefault="00AC19E4">
            <w:pPr>
              <w:pStyle w:val="CellColumn"/>
              <w:jc w:val="left"/>
            </w:pPr>
            <w:r>
              <w:rPr>
                <w:rFonts w:cs="Times New Roman"/>
              </w:rPr>
              <w:t>Priprema projekata i planskih dokumenta u svrhu povećanja razvoja prometne infrastrukure i sigurnosti plovidbe na unutarnjim vodama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4</w:t>
            </w:r>
          </w:p>
        </w:tc>
        <w:tc>
          <w:tcPr>
            <w:tcW w:w="1020" w:type="dxa"/>
          </w:tcPr>
          <w:p w:rsidR="00F244BA" w:rsidRDefault="00AC19E4">
            <w:pPr>
              <w:pStyle w:val="CellColumn"/>
              <w:jc w:val="right"/>
            </w:pPr>
            <w:r>
              <w:rPr>
                <w:rFonts w:cs="Times New Roman"/>
              </w:rPr>
              <w:t>2</w:t>
            </w:r>
          </w:p>
        </w:tc>
      </w:tr>
    </w:tbl>
    <w:p w:rsidR="00F244BA" w:rsidRDefault="00F244BA">
      <w:pPr>
        <w:jc w:val="left"/>
      </w:pPr>
    </w:p>
    <w:p w:rsidR="00F244BA" w:rsidRDefault="00AC19E4">
      <w:pPr>
        <w:pStyle w:val="Naslov4"/>
      </w:pPr>
      <w:r>
        <w:t>A810015 POTPORA BRODARIMA UNUTARNJE PLOVIDBE U NACIONALNOM PRIJEVOZU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A810015-POTPORA BRODARIMA UNUTARNJE PLOVIDBE U NACIONALNOM PRIJEVOZU</w:t>
            </w:r>
          </w:p>
        </w:tc>
        <w:tc>
          <w:tcPr>
            <w:tcW w:w="2041" w:type="dxa"/>
          </w:tcPr>
          <w:p w:rsidR="00F244BA" w:rsidRDefault="00AC19E4">
            <w:pPr>
              <w:pStyle w:val="CellColumn"/>
              <w:jc w:val="right"/>
            </w:pPr>
            <w:r>
              <w:rPr>
                <w:rFonts w:cs="Times New Roman"/>
              </w:rPr>
              <w:t>537.124</w:t>
            </w:r>
          </w:p>
        </w:tc>
        <w:tc>
          <w:tcPr>
            <w:tcW w:w="2041" w:type="dxa"/>
          </w:tcPr>
          <w:p w:rsidR="00F244BA" w:rsidRDefault="00AC19E4">
            <w:pPr>
              <w:pStyle w:val="CellColumn"/>
              <w:jc w:val="right"/>
            </w:pPr>
            <w:r>
              <w:rPr>
                <w:rFonts w:cs="Times New Roman"/>
              </w:rPr>
              <w:t>741.000</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plovidbi i lukama unutarnjih voda; članak 2. </w:t>
      </w:r>
    </w:p>
    <w:p w:rsidR="00F244BA" w:rsidRDefault="00AC19E4">
      <w:r>
        <w:t xml:space="preserve">- Zakon o državnim potporama; članak 10. </w:t>
      </w:r>
    </w:p>
    <w:p w:rsidR="00F244BA" w:rsidRDefault="00AC19E4">
      <w:r>
        <w:t xml:space="preserve">- Uredba Komisije (EU) br.: 1407/2013 оd 18. prosinca 2013. o primjeni članaka 107. i 108. Ugovora o funkcioniranju Europske unije na de minimis potpore </w:t>
      </w:r>
    </w:p>
    <w:p w:rsidR="00F244BA" w:rsidRDefault="00AC19E4">
      <w:r>
        <w:t xml:space="preserve">- Uredba Komisije (EU) br.: 2020/972 оd 2. srpnja 2020. o izmjeni Uredbe (EU) br. 1407/2013 u pogledu njezina produljenja i o izmjeni Uredbe (EU) br. 651/2014 u pogledu njezina produljenja i odgovarajućih prilagodbi </w:t>
      </w:r>
    </w:p>
    <w:p w:rsidR="00F244BA" w:rsidRDefault="00AC19E4">
      <w:r>
        <w:t>- Uredba Komisije (EU) br.: 2023/2831 оd 13. prosinca 2023. o primjeni članaka 107. i 108. Ugovora o funkcioniranju Europske unije na de minimis potpore (Službeni list Europske unije, L 2023/2831, 15.12.2023.)</w:t>
      </w:r>
    </w:p>
    <w:p w:rsidR="00F244BA" w:rsidRDefault="00AC19E4">
      <w:pPr>
        <w:pStyle w:val="Naslov8"/>
        <w:jc w:val="left"/>
      </w:pPr>
      <w:r>
        <w:t>Opis aktivnosti</w:t>
      </w:r>
    </w:p>
    <w:p w:rsidR="00F244BA" w:rsidRDefault="00AC19E4">
      <w:r>
        <w:t xml:space="preserve">Tijekom 2024. godine izrađen je novi Program dodjele de minimis potpora (potpora male vrijednosti) za ulaganja u djelatnosti prometa na unutarnjim vodama (rijekama, kanalima i jezerima), koji je stupio na snagu 20. prosinca 2024. godine. Cilj ovog Programa je poboljšanje ekološke i ekonomske učinkovitosti flote, povećanje razine sigurnosti </w:t>
      </w:r>
      <w:r>
        <w:lastRenderedPageBreak/>
        <w:t>plovidbe, zaštita članova posade i putnika na plovilima, te osiguranje opstanka i očuvanja zaposlenosti kroz modernizaciju flote, poboljšanje tehničke opremljenosti brodova u unutarnjoj plovidbi i nadoknadu operativnih troškova brodarima. Zbog dugotrajnog postupka ishođenja mišljenja javnopravnih tijela na Program i ishođenja suglasnosti Vlade RH na isti, Javni poziv za dostavu zahtjeva za dodjelu de minimis potpora nije bio objavljen u 2024. godini te se planirana sredstva nisu utrošila.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Realizirani zahtjevi za sufinanciranje troškova brodara - godišnje</w:t>
            </w:r>
          </w:p>
        </w:tc>
        <w:tc>
          <w:tcPr>
            <w:tcW w:w="2551" w:type="dxa"/>
          </w:tcPr>
          <w:p w:rsidR="00F244BA" w:rsidRDefault="00AC19E4">
            <w:pPr>
              <w:pStyle w:val="CellColumn"/>
              <w:jc w:val="left"/>
            </w:pPr>
            <w:r>
              <w:rPr>
                <w:rFonts w:cs="Times New Roman"/>
              </w:rPr>
              <w:t>Ulaganjem u modernizaciju plovila značajno se doprinosi održivoj mobilnosti i zaštiti okoliša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A821014 STIPENDIRANJE REDOVNIH STUDENATA I UČENIKA OBRAZOVNOG USMJERENJA IZ PODRUČJA UNUTARNJE PLOVIDBE, TE VJEŽBENIČKOG STAŽA BRODARACA UNUTARNJE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A821014-STIPENDIRANJE REDOVNIH STUDENATA I UČENIKA OBRAZOVNOG USMJERENJA IZ PODRUČJA UNUTARNJE PLOVIDBE, TE VJEŽBENIČKOG STAŽA BRODARACA UNUTARNJE PLOVIDBE</w:t>
            </w:r>
          </w:p>
        </w:tc>
        <w:tc>
          <w:tcPr>
            <w:tcW w:w="2041" w:type="dxa"/>
          </w:tcPr>
          <w:p w:rsidR="00F244BA" w:rsidRDefault="00AC19E4">
            <w:pPr>
              <w:pStyle w:val="CellColumn"/>
              <w:jc w:val="right"/>
            </w:pPr>
            <w:r>
              <w:rPr>
                <w:rFonts w:cs="Times New Roman"/>
              </w:rPr>
              <w:t>5.734</w:t>
            </w:r>
          </w:p>
        </w:tc>
        <w:tc>
          <w:tcPr>
            <w:tcW w:w="2041" w:type="dxa"/>
          </w:tcPr>
          <w:p w:rsidR="00F244BA" w:rsidRDefault="00AC19E4">
            <w:pPr>
              <w:pStyle w:val="CellColumn"/>
              <w:jc w:val="right"/>
            </w:pPr>
            <w:r>
              <w:rPr>
                <w:rFonts w:cs="Times New Roman"/>
              </w:rPr>
              <w:t>6.600</w:t>
            </w:r>
          </w:p>
        </w:tc>
        <w:tc>
          <w:tcPr>
            <w:tcW w:w="2041" w:type="dxa"/>
          </w:tcPr>
          <w:p w:rsidR="00F244BA" w:rsidRDefault="00AC19E4">
            <w:pPr>
              <w:pStyle w:val="CellColumn"/>
              <w:jc w:val="right"/>
            </w:pPr>
            <w:r>
              <w:rPr>
                <w:rFonts w:cs="Times New Roman"/>
              </w:rPr>
              <w:t>2.395</w:t>
            </w:r>
          </w:p>
        </w:tc>
        <w:tc>
          <w:tcPr>
            <w:tcW w:w="1224" w:type="dxa"/>
          </w:tcPr>
          <w:p w:rsidR="00F244BA" w:rsidRDefault="00AC19E4">
            <w:pPr>
              <w:pStyle w:val="CellColumn"/>
              <w:jc w:val="right"/>
            </w:pPr>
            <w:r>
              <w:rPr>
                <w:rFonts w:cs="Times New Roman"/>
              </w:rPr>
              <w:t>36,3</w:t>
            </w:r>
          </w:p>
        </w:tc>
        <w:tc>
          <w:tcPr>
            <w:tcW w:w="1224" w:type="dxa"/>
          </w:tcPr>
          <w:p w:rsidR="00F244BA" w:rsidRDefault="00AC19E4">
            <w:pPr>
              <w:pStyle w:val="CellColumn"/>
              <w:jc w:val="right"/>
            </w:pPr>
            <w:r>
              <w:rPr>
                <w:rFonts w:cs="Times New Roman"/>
              </w:rPr>
              <w:t>41,8</w:t>
            </w:r>
          </w:p>
        </w:tc>
      </w:tr>
    </w:tbl>
    <w:p w:rsidR="00F244BA" w:rsidRDefault="00F244BA">
      <w:pPr>
        <w:jc w:val="left"/>
      </w:pPr>
    </w:p>
    <w:p w:rsidR="00F244BA" w:rsidRDefault="00AC19E4">
      <w:pPr>
        <w:pStyle w:val="Naslov8"/>
        <w:jc w:val="left"/>
      </w:pPr>
      <w:r>
        <w:t>Zakonske i druge pravne osnove</w:t>
      </w:r>
    </w:p>
    <w:p w:rsidR="00F244BA" w:rsidRDefault="00AC19E4">
      <w:r>
        <w:t>- Zakon o plovidbi i lukama unutarnjih voda; članak 2.</w:t>
      </w:r>
    </w:p>
    <w:p w:rsidR="00F244BA" w:rsidRDefault="00AC19E4">
      <w:pPr>
        <w:pStyle w:val="Naslov8"/>
        <w:jc w:val="left"/>
      </w:pPr>
      <w:r>
        <w:t>Opis aktivnosti</w:t>
      </w:r>
    </w:p>
    <w:p w:rsidR="00F244BA" w:rsidRDefault="00AC19E4">
      <w:r>
        <w:t xml:space="preserve">Sredstva planirana u 2024. godini utrošena su za stipendiranje redovnih učenika i redovitih studenata obrazovnog usmjerenja iz područja unutarnje plovidbe.  </w:t>
      </w:r>
    </w:p>
    <w:p w:rsidR="00F244BA" w:rsidRDefault="00AC19E4">
      <w:r>
        <w:t xml:space="preserve">U trećem kvartalu 2024. godine, objavljen je natječaj za dodjelu stipendija učenicima i studentima obrazovnog usmjerenja iz područja unutarnje plovidbe za školsku/akademsku godinu 2024./2025. Visina stipendija je utvrđena natječajem, ovisno o ostvarenom uspjehu, u rasponu od 106 € (za dobar uspjeh), 212 € (za vrlo dobar uspjeh) i 319 € (za odličan uspjeh) mjesečno, za svakog učenika/studenta tijekom trajanja školske/akademske godine. </w:t>
      </w:r>
    </w:p>
    <w:p w:rsidR="00F244BA" w:rsidRDefault="00AC19E4">
      <w:r>
        <w:t xml:space="preserve">Pravo na stipendiju u školskoj/akademskoj 2024./2025. godini ostvario je jedan student.  </w:t>
      </w:r>
    </w:p>
    <w:p w:rsidR="00F244BA" w:rsidRDefault="00AC19E4">
      <w:r>
        <w:t>Broj ukupno dodijeljenih stipendija u 2024. godini je nizak zbog slabog odaziva studenata na Natječaj za dodjelu stipendija.</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ukupno stipendiranih učenika/studenata</w:t>
            </w:r>
          </w:p>
        </w:tc>
        <w:tc>
          <w:tcPr>
            <w:tcW w:w="2551" w:type="dxa"/>
          </w:tcPr>
          <w:p w:rsidR="00F244BA" w:rsidRDefault="00AC19E4">
            <w:pPr>
              <w:pStyle w:val="CellColumn"/>
              <w:jc w:val="left"/>
            </w:pPr>
            <w:r>
              <w:rPr>
                <w:rFonts w:cs="Times New Roman"/>
              </w:rPr>
              <w:t>Edukacijom učenika/studenatapodručju riječnog prometadoprinosi se kvalitetnijemkadru u unutarnjojplovidbi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4</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11</w:t>
            </w:r>
          </w:p>
        </w:tc>
        <w:tc>
          <w:tcPr>
            <w:tcW w:w="1020" w:type="dxa"/>
          </w:tcPr>
          <w:p w:rsidR="00F244BA" w:rsidRDefault="00AC19E4">
            <w:pPr>
              <w:pStyle w:val="CellColumn"/>
              <w:jc w:val="right"/>
            </w:pPr>
            <w:r>
              <w:rPr>
                <w:rFonts w:cs="Times New Roman"/>
              </w:rPr>
              <w:t>1</w:t>
            </w:r>
          </w:p>
        </w:tc>
      </w:tr>
    </w:tbl>
    <w:p w:rsidR="00F244BA" w:rsidRDefault="00F244BA">
      <w:pPr>
        <w:jc w:val="left"/>
      </w:pPr>
    </w:p>
    <w:p w:rsidR="00F244BA" w:rsidRDefault="00AC19E4">
      <w:pPr>
        <w:pStyle w:val="Naslov4"/>
      </w:pPr>
      <w:r>
        <w:t>K570297 RAD SAVSKE KOMISIJE TE SUDJELOVANJE U RADU MEĐUNARODNIH INSTITUCIJA S PODRUČJA UNUTARNJE PLOVIDBE</w:t>
      </w:r>
    </w:p>
    <w:tbl>
      <w:tblPr>
        <w:tblStyle w:val="StilTablice"/>
        <w:tblW w:w="10206" w:type="dxa"/>
        <w:jc w:val="center"/>
        <w:tblLook w:val="04A0" w:firstRow="1" w:lastRow="0" w:firstColumn="1" w:lastColumn="0" w:noHBand="0" w:noVBand="1"/>
      </w:tblPr>
      <w:tblGrid>
        <w:gridCol w:w="1771"/>
        <w:gridCol w:w="2001"/>
        <w:gridCol w:w="1999"/>
        <w:gridCol w:w="2001"/>
        <w:gridCol w:w="1215"/>
        <w:gridCol w:w="1219"/>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K570297-RAD SAVSKE KOMISIJE TE SUDJELOVANJE U RADU MEĐUNARODNIH INSTITUCIJA S PODRUČJA UNUTARNJE PLOVIDBE</w:t>
            </w:r>
          </w:p>
        </w:tc>
        <w:tc>
          <w:tcPr>
            <w:tcW w:w="2041" w:type="dxa"/>
          </w:tcPr>
          <w:p w:rsidR="00F244BA" w:rsidRDefault="00AC19E4">
            <w:pPr>
              <w:pStyle w:val="CellColumn"/>
              <w:jc w:val="right"/>
            </w:pPr>
            <w:r>
              <w:rPr>
                <w:rFonts w:cs="Times New Roman"/>
              </w:rPr>
              <w:t>183.034</w:t>
            </w:r>
          </w:p>
        </w:tc>
        <w:tc>
          <w:tcPr>
            <w:tcW w:w="2041" w:type="dxa"/>
          </w:tcPr>
          <w:p w:rsidR="00F244BA" w:rsidRDefault="00AC19E4">
            <w:pPr>
              <w:pStyle w:val="CellColumn"/>
              <w:jc w:val="right"/>
            </w:pPr>
            <w:r>
              <w:rPr>
                <w:rFonts w:cs="Times New Roman"/>
              </w:rPr>
              <w:t>188.495</w:t>
            </w:r>
          </w:p>
        </w:tc>
        <w:tc>
          <w:tcPr>
            <w:tcW w:w="2041" w:type="dxa"/>
          </w:tcPr>
          <w:p w:rsidR="00F244BA" w:rsidRDefault="00AC19E4">
            <w:pPr>
              <w:pStyle w:val="CellColumn"/>
              <w:jc w:val="right"/>
            </w:pPr>
            <w:r>
              <w:rPr>
                <w:rFonts w:cs="Times New Roman"/>
              </w:rPr>
              <w:t>177.303</w:t>
            </w:r>
          </w:p>
        </w:tc>
        <w:tc>
          <w:tcPr>
            <w:tcW w:w="1224" w:type="dxa"/>
          </w:tcPr>
          <w:p w:rsidR="00F244BA" w:rsidRDefault="00AC19E4">
            <w:pPr>
              <w:pStyle w:val="CellColumn"/>
              <w:jc w:val="right"/>
            </w:pPr>
            <w:r>
              <w:rPr>
                <w:rFonts w:cs="Times New Roman"/>
              </w:rPr>
              <w:t>94,1</w:t>
            </w:r>
          </w:p>
        </w:tc>
        <w:tc>
          <w:tcPr>
            <w:tcW w:w="1224" w:type="dxa"/>
          </w:tcPr>
          <w:p w:rsidR="00F244BA" w:rsidRDefault="00AC19E4">
            <w:pPr>
              <w:pStyle w:val="CellColumn"/>
              <w:jc w:val="right"/>
            </w:pPr>
            <w:r>
              <w:rPr>
                <w:rFonts w:cs="Times New Roman"/>
              </w:rPr>
              <w:t>96,9</w:t>
            </w:r>
          </w:p>
        </w:tc>
      </w:tr>
    </w:tbl>
    <w:p w:rsidR="00F244BA" w:rsidRDefault="00F244BA">
      <w:pPr>
        <w:jc w:val="left"/>
      </w:pPr>
    </w:p>
    <w:p w:rsidR="00F244BA" w:rsidRDefault="00AC19E4">
      <w:pPr>
        <w:pStyle w:val="Naslov8"/>
        <w:jc w:val="left"/>
      </w:pPr>
      <w:r>
        <w:t>Zakonske i druge pravne osnove</w:t>
      </w:r>
    </w:p>
    <w:p w:rsidR="00F244BA" w:rsidRDefault="00AC19E4">
      <w:r>
        <w:t xml:space="preserve">- Europski sporazum o međunarodnom prijevozu opasnih tvari unutarnjim plovnim putovima ADN  </w:t>
      </w:r>
    </w:p>
    <w:p w:rsidR="00F244BA" w:rsidRDefault="00AC19E4">
      <w:r>
        <w:t xml:space="preserve">- Konvencija o režimu plovidbe na Dunavu, dopunski protokol od 26.03.1998.  </w:t>
      </w:r>
    </w:p>
    <w:p w:rsidR="00F244BA" w:rsidRDefault="00AC19E4">
      <w:r>
        <w:t xml:space="preserve">- Okvirni sporazum o slivu rijeke Save potpisan 03.12.2002. godine  </w:t>
      </w:r>
    </w:p>
    <w:p w:rsidR="00F244BA" w:rsidRDefault="00AC19E4">
      <w:r>
        <w:t xml:space="preserve">- Europski ugovor o glavnim unutarnjim plovnim putovima od međunarodnog značaja (AGN)  </w:t>
      </w:r>
    </w:p>
    <w:p w:rsidR="00F244BA" w:rsidRDefault="00AC19E4">
      <w:r>
        <w:t xml:space="preserve">- Zakon o plovidbi i lukama unutarnjih voda  </w:t>
      </w:r>
    </w:p>
    <w:p w:rsidR="00F244BA" w:rsidRDefault="00AC19E4">
      <w:r>
        <w:t>- Odluka o povećanju kontribucije 18.12.2018. (temeljem Okvirnog sporazuma o slivu rijeke Save, član 16. st.1(c))</w:t>
      </w:r>
    </w:p>
    <w:p w:rsidR="00F244BA" w:rsidRDefault="00AC19E4">
      <w:pPr>
        <w:pStyle w:val="Naslov8"/>
        <w:jc w:val="left"/>
      </w:pPr>
      <w:r>
        <w:t>Opis aktivnosti</w:t>
      </w:r>
    </w:p>
    <w:p w:rsidR="00F244BA" w:rsidRDefault="00AC19E4">
      <w:r>
        <w:t>U 2024. godini utrošena su sredstva za potrebe najma poslovnog prostora u svrhu osiguranja smještaja Savske komisije te za plaćanje režijskih troškova i kontribucija za članstvo RH u Savskoj komisiji. Osnovom ugovora o sjedištu Komisije (Međunarodni ugovor broj 3/2006), potpisanog između Vlade Republike Hrvatske i Međunarodne komisije za sliv rijeke Save, propisano je da će Vlada RH osigurati pogodne i prikladne prostorije za rad Savske komisije i njezino Tajništvo u Zagrebu, bez naknade. Provedba ovog Ugovora je u nadležnosti Ministarstva mora, prometa i infrastrukture.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lastRenderedPageBreak/>
              <w:t>Sudjelovanje na sjednicama Savske komisije</w:t>
            </w:r>
          </w:p>
        </w:tc>
        <w:tc>
          <w:tcPr>
            <w:tcW w:w="2551" w:type="dxa"/>
          </w:tcPr>
          <w:p w:rsidR="00F244BA" w:rsidRDefault="00AC19E4">
            <w:pPr>
              <w:pStyle w:val="CellColumn"/>
              <w:jc w:val="left"/>
            </w:pPr>
            <w:r>
              <w:rPr>
                <w:rFonts w:cs="Times New Roman"/>
              </w:rPr>
              <w:t xml:space="preserve">Sudjelovanjem na sjednicama Savske komisije Republika Hrvatska aktivno sudjeluje u  donošenju zajedničkih odluka, protokola u dijelu sigurne plovidbe rijekom Savom zajedno sa ostalim zemljama članicama </w:t>
            </w:r>
          </w:p>
          <w:p w:rsidR="00F244BA" w:rsidRDefault="00AC19E4">
            <w:pPr>
              <w:pStyle w:val="CellColumn"/>
              <w:jc w:val="left"/>
            </w:pPr>
            <w:r>
              <w:rPr>
                <w:rFonts w:cs="Times New Roman"/>
              </w:rPr>
              <w:t>Savske komisije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w:t>
            </w:r>
          </w:p>
        </w:tc>
        <w:tc>
          <w:tcPr>
            <w:tcW w:w="1020" w:type="dxa"/>
          </w:tcPr>
          <w:p w:rsidR="00F244BA" w:rsidRDefault="00AC19E4">
            <w:pPr>
              <w:pStyle w:val="CellColumn"/>
              <w:jc w:val="right"/>
            </w:pPr>
            <w:r>
              <w:rPr>
                <w:rFonts w:cs="Times New Roman"/>
              </w:rPr>
              <w:t>3</w:t>
            </w:r>
          </w:p>
        </w:tc>
      </w:tr>
    </w:tbl>
    <w:p w:rsidR="00F244BA" w:rsidRDefault="00F244BA">
      <w:pPr>
        <w:jc w:val="left"/>
      </w:pPr>
    </w:p>
    <w:p w:rsidR="00F244BA" w:rsidRDefault="00AC19E4">
      <w:pPr>
        <w:pStyle w:val="Naslov4"/>
      </w:pPr>
      <w:r>
        <w:t>K754068 EKO-REKUPA-REVITALIZACIJA RIJEKE KUPE ZA PUTNIČKU I SPORTSKU PLOVIDBU</w:t>
      </w:r>
    </w:p>
    <w:tbl>
      <w:tblPr>
        <w:tblStyle w:val="StilTablice"/>
        <w:tblW w:w="10206" w:type="dxa"/>
        <w:jc w:val="center"/>
        <w:tblLook w:val="04A0" w:firstRow="1" w:lastRow="0" w:firstColumn="1" w:lastColumn="0" w:noHBand="0" w:noVBand="1"/>
      </w:tblPr>
      <w:tblGrid>
        <w:gridCol w:w="1725"/>
        <w:gridCol w:w="2014"/>
        <w:gridCol w:w="2013"/>
        <w:gridCol w:w="2015"/>
        <w:gridCol w:w="1218"/>
        <w:gridCol w:w="1221"/>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K754068-EKO-REKUPA-REVITALIZACIJA RIJEKE KUPE ZA PUTNIČKU I SPORTSKU PLOVIDBU</w:t>
            </w:r>
          </w:p>
        </w:tc>
        <w:tc>
          <w:tcPr>
            <w:tcW w:w="2041" w:type="dxa"/>
          </w:tcPr>
          <w:p w:rsidR="00F244BA" w:rsidRDefault="00AC19E4">
            <w:pPr>
              <w:pStyle w:val="CellColumn"/>
              <w:jc w:val="right"/>
            </w:pPr>
            <w:r>
              <w:rPr>
                <w:rFonts w:cs="Times New Roman"/>
              </w:rPr>
              <w:t>79.634</w:t>
            </w:r>
          </w:p>
        </w:tc>
        <w:tc>
          <w:tcPr>
            <w:tcW w:w="2041" w:type="dxa"/>
          </w:tcPr>
          <w:p w:rsidR="00F244BA" w:rsidRDefault="00AC19E4">
            <w:pPr>
              <w:pStyle w:val="CellColumn"/>
              <w:jc w:val="right"/>
            </w:pPr>
            <w:r>
              <w:rPr>
                <w:rFonts w:cs="Times New Roman"/>
              </w:rPr>
              <w:t>165.870</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Zakon o plovidbi i lukama unutarnjih voda</w:t>
      </w:r>
    </w:p>
    <w:p w:rsidR="00F244BA" w:rsidRDefault="00AC19E4">
      <w:pPr>
        <w:pStyle w:val="Naslov8"/>
        <w:jc w:val="left"/>
      </w:pPr>
      <w:r>
        <w:t>Opis aktivnosti</w:t>
      </w:r>
    </w:p>
    <w:p w:rsidR="00F244BA" w:rsidRDefault="00AC19E4">
      <w:r>
        <w:t>Nastavno na I. fazu projekta uređenja plovnog puta i pristaništa za brodove na rijeci Kupi pokrenut je postupak javne nabave za II. fazu projekta koji nije realiziran zbog dugotrajnih i kompliciranih postupaka javne nabave.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Izrađena projektna dokumentacija (Koncepcijsko rješenje, Idejni i Glavni projekt)</w:t>
            </w:r>
          </w:p>
        </w:tc>
        <w:tc>
          <w:tcPr>
            <w:tcW w:w="2551" w:type="dxa"/>
          </w:tcPr>
          <w:p w:rsidR="00F244BA" w:rsidRDefault="00AC19E4">
            <w:pPr>
              <w:pStyle w:val="CellColumn"/>
              <w:jc w:val="left"/>
            </w:pPr>
            <w:r>
              <w:rPr>
                <w:rFonts w:cs="Times New Roman"/>
              </w:rPr>
              <w:t>Izradom Koncepcijskog rješenja najvažnije dionice rijeke Kupe (Sredičko-Karlovac) za razvoj manjih pristaništa, uključujući i projektnu dokumentaciju za odabrane lokacije pristaništa, započet će revitalizacija područja oko rijeke Kupe i unapređenje plovnog puta uz prateću infrastrukturu.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lastRenderedPageBreak/>
        <w:t>K761084 CEF-FAIRWAY DANUBE 2-BUDUĆI KORACI ZA UNAPRJEĐENJE PLOVIDBE NA DUNAVU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K761084-CEF-FAIRWAY DANUBE 2-BUDUĆI KORACI ZA UNAPRJEĐENJE PLOVIDBE NA DUNAVU</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178.013</w:t>
            </w:r>
          </w:p>
        </w:tc>
        <w:tc>
          <w:tcPr>
            <w:tcW w:w="2041" w:type="dxa"/>
          </w:tcPr>
          <w:p w:rsidR="00F244BA" w:rsidRDefault="00AC19E4">
            <w:pPr>
              <w:pStyle w:val="CellColumn"/>
              <w:jc w:val="right"/>
            </w:pPr>
            <w:r>
              <w:rPr>
                <w:rFonts w:cs="Times New Roman"/>
              </w:rPr>
              <w:t>5.261</w:t>
            </w:r>
          </w:p>
        </w:tc>
        <w:tc>
          <w:tcPr>
            <w:tcW w:w="1224" w:type="dxa"/>
          </w:tcPr>
          <w:p w:rsidR="00F244BA" w:rsidRDefault="00AC19E4">
            <w:pPr>
              <w:pStyle w:val="CellColumn"/>
              <w:jc w:val="right"/>
            </w:pPr>
            <w:r>
              <w:rPr>
                <w:rFonts w:cs="Times New Roman"/>
              </w:rPr>
              <w:t>3,0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institucionalnom okviru za korištenje fondova Europske Unije u Republici Hrvatskoj, članak 3., stavak 1.,  </w:t>
      </w:r>
    </w:p>
    <w:p w:rsidR="00F244BA" w:rsidRDefault="00AC19E4">
      <w:r>
        <w:t xml:space="preserve">- Zakon o plovidbi i  lukama unutarnjih voda, članak 145., stavak 3. </w:t>
      </w:r>
    </w:p>
    <w:p w:rsidR="00F244BA" w:rsidRDefault="00AC19E4">
      <w:r>
        <w:t xml:space="preserve">- Ugovor sklopljen sa CINEA (European Climate, Infrastructure and Environment Executive Agency) GAP-101122576 – 22- </w:t>
      </w:r>
    </w:p>
    <w:p w:rsidR="00F244BA" w:rsidRDefault="00AC19E4">
      <w:r>
        <w:t xml:space="preserve">  EU-TG-FAIRway Danube II</w:t>
      </w:r>
    </w:p>
    <w:p w:rsidR="00F244BA" w:rsidRDefault="00AC19E4">
      <w:pPr>
        <w:pStyle w:val="Naslov8"/>
        <w:jc w:val="left"/>
      </w:pPr>
      <w:r>
        <w:t>Opis aktivnosti</w:t>
      </w:r>
    </w:p>
    <w:p w:rsidR="00F244BA" w:rsidRDefault="00AC19E4">
      <w:r>
        <w:t xml:space="preserve">Višekorisnički projekt „FAIRway Danube II odobren je za EU sufinanciranje unutar CEF 2021. – 2027. poziva u području prometa službene oznake GAP-101122576 - 22-EU-TG-FAIRway Danube II. </w:t>
      </w:r>
    </w:p>
    <w:p w:rsidR="00F244BA" w:rsidRDefault="00AC19E4">
      <w:r>
        <w:t xml:space="preserve">Ministarstvo mora, prometa i infrastrukture sudjeluje na projektu zajedno s partnerima iz Lučke uprave Vukovar te administracijama zaduženim za upravljanje vodnim putovima: viadonau iz Austrije, SVP iz Slovačke, OVF iz Mađarske, AFDJ i ACN iz Rumunjske i APPD iz Bugarske.  Planirani završetak projekta je 31.12.2027. godine. </w:t>
      </w:r>
    </w:p>
    <w:p w:rsidR="00F244BA" w:rsidRDefault="00AC19E4">
      <w:r>
        <w:t xml:space="preserve">Unutar projekta planiraju se sljedeće aktivnosti:  </w:t>
      </w:r>
    </w:p>
    <w:p w:rsidR="00F244BA" w:rsidRDefault="00AC19E4">
      <w:r>
        <w:t>-</w:t>
      </w:r>
      <w:r>
        <w:tab/>
        <w:t xml:space="preserve">izrada periodičnih Izvješća o stanju vodnih putova koja će predstavljati put ka ostvarenju ciljeva iz Master plana za održavanje i rehabilitaciju plovnih putova; </w:t>
      </w:r>
    </w:p>
    <w:p w:rsidR="00F244BA" w:rsidRDefault="00AC19E4">
      <w:r>
        <w:t>-</w:t>
      </w:r>
      <w:r>
        <w:tab/>
        <w:t xml:space="preserve">nabavka opreme za snimanje i obilježavanje plovnog puta te praćenje stanja plovnog puta (nabavka AIS plutača, zemaljskog laserskog skenera koji radi na lidar 3D tehnologiji, nabavka novih softvera, nabavka drona sa jednosnopnim dubinomjerom za snimanje plićaka, nabavka rtks zračnog drona) a u svrhu ostvarivanja dobrih uvjeta plovidbe.  </w:t>
      </w:r>
    </w:p>
    <w:p w:rsidR="00F244BA" w:rsidRDefault="00AC19E4">
      <w:r>
        <w:t>-</w:t>
      </w:r>
      <w:r>
        <w:tab/>
        <w:t xml:space="preserve">daljnji razvoj nacionalnog sustava za upravljanje plovnim putovima (WAMS) i transnacionalnog monitoring sustava (WAMOS)  </w:t>
      </w:r>
    </w:p>
    <w:p w:rsidR="00F244BA" w:rsidRDefault="00AC19E4">
      <w:r>
        <w:t>-</w:t>
      </w:r>
      <w:r>
        <w:tab/>
        <w:t xml:space="preserve">pilot aktivnosti „Mobilni infrastrukturni elementi“ koje će doprinijeti smanjenju troškova tehničkog održavanja plovnog puta rijeke Dunav. </w:t>
      </w:r>
    </w:p>
    <w:p w:rsidR="00F244BA" w:rsidRDefault="00AC19E4">
      <w:r>
        <w:t xml:space="preserve"> </w:t>
      </w:r>
    </w:p>
    <w:p w:rsidR="00F244BA" w:rsidRDefault="00AC19E4">
      <w:r>
        <w:t xml:space="preserve">Unutar navedene aktivnosti u 2024.godini utrošena su sredstva na materijalnim rashodima za isplatu putnih troškova članova projektnog tima u iznosu od 5.261 €.  </w:t>
      </w:r>
    </w:p>
    <w:p w:rsidR="00F244BA" w:rsidRDefault="00AC19E4">
      <w:r>
        <w:t>Obzirom da je FAIRway Danube II višekorisnički projekt, pri čemu se aktivnosti usklađuju s partnerima iz ostalih zemalja, pa tako i plan proračuna, te da pojedini partneri nisu imali osigurana sredstva u svojim proračunima  došlo je do kašnjenja prilikom definiranja elemenata potrebnih za provedbu postupka javne nabave te sredstva nisu mogla biti utrošena prema planiranoj dinamici.</w:t>
      </w:r>
    </w:p>
    <w:p w:rsidR="00F244BA" w:rsidRDefault="00AC19E4">
      <w:pPr>
        <w:pStyle w:val="Naslov4"/>
      </w:pPr>
      <w:r>
        <w:lastRenderedPageBreak/>
        <w:t>K810001 GRADNJA I TEHNIČKO ODRŽAVANJE PLOVNIH PUTOVA UNUTARNJIH VODA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K810001-GRADNJA I TEHNIČKO ODRŽAVANJE PLOVNIH PUTOVA UNUTARNJIH VODA</w:t>
            </w:r>
          </w:p>
        </w:tc>
        <w:tc>
          <w:tcPr>
            <w:tcW w:w="2041" w:type="dxa"/>
          </w:tcPr>
          <w:p w:rsidR="00F244BA" w:rsidRDefault="00AC19E4">
            <w:pPr>
              <w:pStyle w:val="CellColumn"/>
              <w:jc w:val="right"/>
            </w:pPr>
            <w:r>
              <w:rPr>
                <w:rFonts w:cs="Times New Roman"/>
              </w:rPr>
              <w:t>1.345.154</w:t>
            </w:r>
          </w:p>
        </w:tc>
        <w:tc>
          <w:tcPr>
            <w:tcW w:w="2041" w:type="dxa"/>
          </w:tcPr>
          <w:p w:rsidR="00F244BA" w:rsidRDefault="00AC19E4">
            <w:pPr>
              <w:pStyle w:val="CellColumn"/>
              <w:jc w:val="right"/>
            </w:pPr>
            <w:r>
              <w:rPr>
                <w:rFonts w:cs="Times New Roman"/>
              </w:rPr>
              <w:t>3.710.451</w:t>
            </w:r>
          </w:p>
        </w:tc>
        <w:tc>
          <w:tcPr>
            <w:tcW w:w="2041" w:type="dxa"/>
          </w:tcPr>
          <w:p w:rsidR="00F244BA" w:rsidRDefault="00AC19E4">
            <w:pPr>
              <w:pStyle w:val="CellColumn"/>
              <w:jc w:val="right"/>
            </w:pPr>
            <w:r>
              <w:rPr>
                <w:rFonts w:cs="Times New Roman"/>
              </w:rPr>
              <w:t>2.321.848</w:t>
            </w:r>
          </w:p>
        </w:tc>
        <w:tc>
          <w:tcPr>
            <w:tcW w:w="1224" w:type="dxa"/>
          </w:tcPr>
          <w:p w:rsidR="00F244BA" w:rsidRDefault="00AC19E4">
            <w:pPr>
              <w:pStyle w:val="CellColumn"/>
              <w:jc w:val="right"/>
            </w:pPr>
            <w:r>
              <w:rPr>
                <w:rFonts w:cs="Times New Roman"/>
              </w:rPr>
              <w:t>62,6</w:t>
            </w:r>
          </w:p>
        </w:tc>
        <w:tc>
          <w:tcPr>
            <w:tcW w:w="1224" w:type="dxa"/>
          </w:tcPr>
          <w:p w:rsidR="00F244BA" w:rsidRDefault="00AC19E4">
            <w:pPr>
              <w:pStyle w:val="CellColumn"/>
              <w:jc w:val="right"/>
            </w:pPr>
            <w:r>
              <w:rPr>
                <w:rFonts w:cs="Times New Roman"/>
              </w:rPr>
              <w:t>172,6</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plovidbi i lukama unutarnjih voda; članak 145., stavak 3. </w:t>
      </w:r>
    </w:p>
    <w:p w:rsidR="00F244BA" w:rsidRDefault="00AC19E4">
      <w:r>
        <w:t>- Pravilnik o tehničkom održavanju vodnih putova; članak 3.</w:t>
      </w:r>
    </w:p>
    <w:p w:rsidR="00F244BA" w:rsidRDefault="00AC19E4">
      <w:pPr>
        <w:pStyle w:val="Naslov8"/>
        <w:jc w:val="left"/>
      </w:pPr>
      <w:r>
        <w:t>Opis aktivnosti</w:t>
      </w:r>
    </w:p>
    <w:p w:rsidR="00F244BA" w:rsidRDefault="00AC19E4">
      <w:r>
        <w:t xml:space="preserve">Tijekom 2024. godine obavljeni su radovi tehničkog održavanja kinete plovnog puta u svrhu održavanja plovnosti Dunava, Drave i Save te je obavljeno održavanje i obilježavanje građevina za poboljšanje uvjeta plovidbe (usluge popravaka vodnih oznaka i izrada novih oznaka) uz obilježavanje plovnih putova. Za navedene radove i usluge  utrošen je iznos od 1.232.525,00  €. </w:t>
      </w:r>
    </w:p>
    <w:p w:rsidR="00F244BA" w:rsidRDefault="00AC19E4">
      <w:r>
        <w:t xml:space="preserve">Pored gore navedenih radova i usluga, sredstvima s ovog projekta izrađeni su sljedeći dokumenti odnosno obavljene sljedeće usluge:  </w:t>
      </w:r>
    </w:p>
    <w:p w:rsidR="00F244BA" w:rsidRDefault="00AC19E4">
      <w:r>
        <w:t xml:space="preserve">-  Stručni nadzor radova tehničkog održavanja na rijeci Savi u iznosu od 33.100 €  </w:t>
      </w:r>
    </w:p>
    <w:p w:rsidR="00F244BA" w:rsidRDefault="00AC19E4">
      <w:r>
        <w:t xml:space="preserve">- Elaborat praćenja morfoloških promjena rijeke Drave na dionicama ušće rijeke Drave u Dunav i prokopa Nemetin </w:t>
      </w:r>
    </w:p>
    <w:p w:rsidR="00F244BA" w:rsidRDefault="00AC19E4">
      <w:r>
        <w:t xml:space="preserve">   u iznosu od 66.112,55 €  </w:t>
      </w:r>
    </w:p>
    <w:p w:rsidR="00F244BA" w:rsidRDefault="00AC19E4">
      <w:r>
        <w:t xml:space="preserve">- Hidrografsko snimanje i izrada elaborata tehničkog održavanja plovnog puta te interventnih radova po nalogu  </w:t>
      </w:r>
    </w:p>
    <w:p w:rsidR="00F244BA" w:rsidRDefault="00AC19E4">
      <w:r>
        <w:t xml:space="preserve">  inspekcije na rijeci Savi (na lokacijama Davor, Gušće i Lonja) - elaborati u iznosu od 11.165 €   </w:t>
      </w:r>
    </w:p>
    <w:p w:rsidR="00F244BA" w:rsidRDefault="00AC19E4">
      <w:r>
        <w:t xml:space="preserve">- Elaborat tehničkog rješenja radarskih oznaka na stupovima mostova na Dravi i Dunavu u iznosu od 12.000 €  </w:t>
      </w:r>
    </w:p>
    <w:p w:rsidR="00F244BA" w:rsidRDefault="00AC19E4">
      <w:r>
        <w:t xml:space="preserve">- Usluge vođenja projekta “Izgradnja zimovnika na međunarodnom plovnom putu Vic klase, na cca 1314 rkm  rijeke  </w:t>
      </w:r>
    </w:p>
    <w:p w:rsidR="00F244BA" w:rsidRDefault="00AC19E4">
      <w:r>
        <w:t xml:space="preserve">  Dunav u Opatovcu” u iznosu od 34.042,42 € </w:t>
      </w:r>
    </w:p>
    <w:p w:rsidR="00F244BA" w:rsidRDefault="00AC19E4">
      <w:r>
        <w:t xml:space="preserve">- Usluge nadzora nad radovima na izgradnji međunarodnog zimovnika u Opatovcu u iznosu od  4.656,56 € </w:t>
      </w:r>
    </w:p>
    <w:p w:rsidR="00F244BA" w:rsidRDefault="00AC19E4">
      <w:r>
        <w:t xml:space="preserve">- usluge CPTU ispitivanja  i projektantskog nadzora na području zimovnika u Opatovcu u iznosu od 10.297,29 €, </w:t>
      </w:r>
    </w:p>
    <w:p w:rsidR="00F244BA" w:rsidRDefault="00AC19E4">
      <w:r>
        <w:t xml:space="preserve">- održavanje završne konferencije za projekt “Izgradnja zimovnika na međunarodnom plovnom putu Vic klase, na </w:t>
      </w:r>
    </w:p>
    <w:p w:rsidR="00F244BA" w:rsidRDefault="00AC19E4">
      <w:r>
        <w:t xml:space="preserve">    cca 1314 rkm  rijeke Dunav u Opatovcu” u iznosu od 14.750 € </w:t>
      </w:r>
    </w:p>
    <w:p w:rsidR="00F244BA" w:rsidRDefault="00AC19E4">
      <w:r>
        <w:t xml:space="preserve">- usluge popravaka i servisa brodova za nadzor vodnih putova </w:t>
      </w:r>
    </w:p>
    <w:p w:rsidR="00F244BA" w:rsidRDefault="00AC19E4">
      <w:r>
        <w:t xml:space="preserve">- usluge servisa opreme za snimanje vodnih putova u iznosu od 15.640,73 € </w:t>
      </w:r>
    </w:p>
    <w:p w:rsidR="00F244BA" w:rsidRDefault="00AC19E4">
      <w:r>
        <w:t xml:space="preserve">- ugradnja zaštitnih folija na zgradi Područnog ureda za vodne putove Vukovar u iznosu od  26.910 € </w:t>
      </w:r>
    </w:p>
    <w:p w:rsidR="00F244BA" w:rsidRDefault="00AC19E4">
      <w:r>
        <w:t xml:space="preserve">- radovi na izgradnji zimovnika u Opatovcu u iznosu od 860.648,61 €. </w:t>
      </w:r>
    </w:p>
    <w:p w:rsidR="00F244BA" w:rsidRDefault="00AC19E4">
      <w:r>
        <w:t>Do odstupanja od planiranog iznosa je došlo uslijed vrlo povoljnih hidroloških uvjeta, što znači da su plovidbeni uvjeti bili dobri, odnosno vodostaji su bili povoljni za plovidbu (visoki) te nije bilo potrebe za izvođenjem radova produbljivanja i proširenja korita plovnog puta.</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rkm vodnih putova uređenih na deklariranu klasu plovnosti</w:t>
            </w:r>
          </w:p>
        </w:tc>
        <w:tc>
          <w:tcPr>
            <w:tcW w:w="2551" w:type="dxa"/>
          </w:tcPr>
          <w:p w:rsidR="00F244BA" w:rsidRDefault="00AC19E4">
            <w:pPr>
              <w:pStyle w:val="CellColumn"/>
              <w:jc w:val="left"/>
            </w:pPr>
            <w:r>
              <w:rPr>
                <w:rFonts w:cs="Times New Roman"/>
              </w:rPr>
              <w:t>Vodni putovi uređeni na deklariranu klasu plovnosti su vodni putovi koji udovoljavaju svim parametrima definiranim međunarodnim ili nacionalnim propisima ovisno o vrsti vodnog puta (međunarodni ili nacionalni)</w:t>
            </w:r>
          </w:p>
        </w:tc>
        <w:tc>
          <w:tcPr>
            <w:tcW w:w="1020" w:type="dxa"/>
          </w:tcPr>
          <w:p w:rsidR="00F244BA" w:rsidRDefault="00AC19E4">
            <w:pPr>
              <w:pStyle w:val="CellColumn"/>
              <w:jc w:val="right"/>
            </w:pPr>
            <w:r>
              <w:rPr>
                <w:rFonts w:cs="Times New Roman"/>
              </w:rPr>
              <w:t>rkm</w:t>
            </w:r>
          </w:p>
        </w:tc>
        <w:tc>
          <w:tcPr>
            <w:tcW w:w="1020" w:type="dxa"/>
          </w:tcPr>
          <w:p w:rsidR="00F244BA" w:rsidRDefault="00AC19E4">
            <w:pPr>
              <w:pStyle w:val="CellColumn"/>
              <w:jc w:val="right"/>
            </w:pPr>
            <w:r>
              <w:rPr>
                <w:rFonts w:cs="Times New Roman"/>
              </w:rPr>
              <w:t>474</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474</w:t>
            </w:r>
          </w:p>
        </w:tc>
        <w:tc>
          <w:tcPr>
            <w:tcW w:w="1020" w:type="dxa"/>
          </w:tcPr>
          <w:p w:rsidR="00F244BA" w:rsidRDefault="00AC19E4">
            <w:pPr>
              <w:pStyle w:val="CellColumn"/>
              <w:jc w:val="right"/>
            </w:pPr>
            <w:r>
              <w:rPr>
                <w:rFonts w:cs="Times New Roman"/>
              </w:rPr>
              <w:t>474</w:t>
            </w:r>
          </w:p>
        </w:tc>
      </w:tr>
    </w:tbl>
    <w:p w:rsidR="00F244BA" w:rsidRDefault="00F244BA">
      <w:pPr>
        <w:jc w:val="left"/>
      </w:pPr>
    </w:p>
    <w:p w:rsidR="00F244BA" w:rsidRDefault="00AC19E4">
      <w:pPr>
        <w:pStyle w:val="Naslov4"/>
      </w:pPr>
      <w:r>
        <w:t>K810006 IZGRADNJA VIŠENAMJENSKOG KANALA DUNAV-SAVA</w:t>
      </w:r>
    </w:p>
    <w:tbl>
      <w:tblPr>
        <w:tblStyle w:val="StilTablice"/>
        <w:tblW w:w="10206" w:type="dxa"/>
        <w:jc w:val="center"/>
        <w:tblLook w:val="04A0" w:firstRow="1" w:lastRow="0" w:firstColumn="1" w:lastColumn="0" w:noHBand="0" w:noVBand="1"/>
      </w:tblPr>
      <w:tblGrid>
        <w:gridCol w:w="1915"/>
        <w:gridCol w:w="1960"/>
        <w:gridCol w:w="1949"/>
        <w:gridCol w:w="1961"/>
        <w:gridCol w:w="1207"/>
        <w:gridCol w:w="121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K810006-IZGRADNJA VIŠENAMJENSKOG KANALA DUNAV-SAVA</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14.725</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plovidbi i lukama unutarnjih voda; članak 145., stavak 3.  </w:t>
      </w:r>
    </w:p>
    <w:p w:rsidR="00F244BA" w:rsidRDefault="00AC19E4">
      <w:r>
        <w:t>- Ugovor o glavnim unutarnjim plovnim putovima od međunarodnog značenja potpisan u Helskinkiju 24. lipnja 1997. godine, Hrvatski Sabor potvrdio je Ugovor 12. studenog 1998. godine, članak 2 i Aneks III.</w:t>
      </w:r>
    </w:p>
    <w:p w:rsidR="00F244BA" w:rsidRDefault="00AC19E4">
      <w:pPr>
        <w:pStyle w:val="Naslov8"/>
        <w:jc w:val="left"/>
      </w:pPr>
      <w:r>
        <w:t>Opis aktivnosti</w:t>
      </w:r>
    </w:p>
    <w:p w:rsidR="00F244BA" w:rsidRDefault="00AC19E4">
      <w:r>
        <w:t>Planirana sredstva u 2024. godini su bila predviđena za izradu studijsko projektne dokumentacije, koja će biti definirana nakon sastanaka sa savjetodavnom službom ispred Europske komisije, Europske investicijske banke i Europske banke za obnovu i razvoj (JASPERS).  Obzirom da se savjetodavna služba nije još javila, sastanak se nije održao tijekom 2024. godine te nisu ni započele nove aktivnosti na izradi studijske dokumentacije.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Stupanj izrade studijsko projekte dokumentacije definirane Studije opravdanosti</w:t>
            </w:r>
          </w:p>
        </w:tc>
        <w:tc>
          <w:tcPr>
            <w:tcW w:w="2551" w:type="dxa"/>
          </w:tcPr>
          <w:p w:rsidR="00F244BA" w:rsidRDefault="00AC19E4">
            <w:pPr>
              <w:pStyle w:val="CellColumn"/>
              <w:jc w:val="left"/>
            </w:pPr>
            <w:r>
              <w:rPr>
                <w:rFonts w:cs="Times New Roman"/>
              </w:rPr>
              <w:t>Izradom studije opravdanosti  VKDS-a odredit će se studijsko projektna dokumentacija koja će biti potrebna za ishođenje svih dozvola prije početka radova na izgradnji VKDS-</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lastRenderedPageBreak/>
        <w:t>K810024 IZGRADNJA PLOVILA I PLOVNIH OBJEKATA U RIJEČNOJ PLOVIDBI</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K810024-IZGRADNJA PLOVILA I PLOVNIH OBJEKATA U RIJEČNOJ PLOVIDBI</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303.500</w:t>
            </w:r>
          </w:p>
        </w:tc>
        <w:tc>
          <w:tcPr>
            <w:tcW w:w="2041" w:type="dxa"/>
          </w:tcPr>
          <w:p w:rsidR="00F244BA" w:rsidRDefault="00AC19E4">
            <w:pPr>
              <w:pStyle w:val="CellColumn"/>
              <w:jc w:val="right"/>
            </w:pPr>
            <w:r>
              <w:rPr>
                <w:rFonts w:cs="Times New Roman"/>
              </w:rPr>
              <w:t>303.404</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plovidbi i lukama unutarnjih voda; članak 145, stavak 3.  </w:t>
      </w:r>
    </w:p>
    <w:p w:rsidR="00F244BA" w:rsidRDefault="00AC19E4">
      <w:r>
        <w:t>- Uredba o tehničko-tehnološkim uvjetima za luke i uvjetima sigurnosti plovidbe u lukama i pristaništima unutarnjih voda</w:t>
      </w:r>
    </w:p>
    <w:p w:rsidR="00F244BA" w:rsidRDefault="00AC19E4">
      <w:pPr>
        <w:pStyle w:val="Naslov8"/>
        <w:jc w:val="left"/>
      </w:pPr>
      <w:r>
        <w:t>Opis aktivnosti</w:t>
      </w:r>
    </w:p>
    <w:p w:rsidR="00F244BA" w:rsidRDefault="00AC19E4">
      <w:r>
        <w:t xml:space="preserve">Ovim projektom nastavljaju se aktivnosti u svrhu postavljanja pristana za plovila Ministarstva mora, prometa i infrastrukture iz nadležnosti unutarnje plovidbe.  </w:t>
      </w:r>
    </w:p>
    <w:p w:rsidR="00F244BA" w:rsidRDefault="00AC19E4">
      <w:r>
        <w:t xml:space="preserve">Na rijeci Dunav postoji potreba za izgradnjom pristana/plovnog objekta na lokaciji Vukovar, kod Nove marine. Uvjeti za realizaciju projekta će se stvoriti tek nakon izgradnje zaštitno vodne građevine, koja je u nadležnosti Hrvatskih voda. Na planirani ponton se planiraju izmjestiti sva plovila Ministarstva mora, prometa i infrastrukture koja se nalaze u lučici kraj Otoka sportova u Vukovaru. </w:t>
      </w:r>
    </w:p>
    <w:p w:rsidR="00F244BA" w:rsidRDefault="00AC19E4">
      <w:r>
        <w:t>Financijska sredstva u 2024. godini su utrošena za dovršetak izgradnje dva plovila za nadzor i ophodnju plovnih putova na Savi i Dravi, koja su dovršena u siječnju 2024. godine i predana Ministarstvu mora, prometa i infrastrukture u veljači 2024.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izgrađenih plovnih objekata</w:t>
            </w:r>
          </w:p>
        </w:tc>
        <w:tc>
          <w:tcPr>
            <w:tcW w:w="2551" w:type="dxa"/>
          </w:tcPr>
          <w:p w:rsidR="00F244BA" w:rsidRDefault="00AC19E4">
            <w:pPr>
              <w:pStyle w:val="CellColumn"/>
              <w:jc w:val="left"/>
            </w:pPr>
            <w:r>
              <w:rPr>
                <w:rFonts w:cs="Times New Roman"/>
              </w:rPr>
              <w:t>Izgradnja pristana je osnovna infrastrukuta za privez službenih plovila Ministarstva moraprometa i infrastrukture iz nadležnosti unutarnje plovidbe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 i Lučke uprave unutarnjih voda</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3"/>
      </w:pPr>
      <w:r>
        <w:rPr>
          <w:rFonts w:cs="Times New Roman"/>
        </w:rPr>
        <w:t>3116 RAZVOJ SUSTAVA POMORSKOG PROMETA, POMORSKOG DOBRA I LUKA, TE ZAŠTITA OKOLIŠA OD ONEČIŠĆENJA S POMORSKIH OBJEKATA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lastRenderedPageBreak/>
              <w:t>3116-RAZVOJ SUSTAVA POMORSKOG PROMETA, POMORSKOG DOBRA I LUKA, TE ZAŠTITA OKOLIŠA OD ONEČIŠĆENJA S POMORSKIH OBJEKATA</w:t>
            </w:r>
          </w:p>
        </w:tc>
        <w:tc>
          <w:tcPr>
            <w:tcW w:w="2041" w:type="dxa"/>
          </w:tcPr>
          <w:p w:rsidR="00F244BA" w:rsidRDefault="00AC19E4">
            <w:pPr>
              <w:pStyle w:val="CellColumn"/>
              <w:jc w:val="right"/>
            </w:pPr>
            <w:r>
              <w:rPr>
                <w:rFonts w:cs="Times New Roman"/>
              </w:rPr>
              <w:t>19.513.453</w:t>
            </w:r>
          </w:p>
        </w:tc>
        <w:tc>
          <w:tcPr>
            <w:tcW w:w="2041" w:type="dxa"/>
          </w:tcPr>
          <w:p w:rsidR="00F244BA" w:rsidRDefault="00AC19E4">
            <w:pPr>
              <w:pStyle w:val="CellColumn"/>
              <w:jc w:val="right"/>
            </w:pPr>
            <w:r>
              <w:rPr>
                <w:rFonts w:cs="Times New Roman"/>
              </w:rPr>
              <w:t>17.321.433</w:t>
            </w:r>
          </w:p>
        </w:tc>
        <w:tc>
          <w:tcPr>
            <w:tcW w:w="2041" w:type="dxa"/>
          </w:tcPr>
          <w:p w:rsidR="00F244BA" w:rsidRDefault="00AC19E4">
            <w:pPr>
              <w:pStyle w:val="CellColumn"/>
              <w:jc w:val="right"/>
            </w:pPr>
            <w:r>
              <w:rPr>
                <w:rFonts w:cs="Times New Roman"/>
              </w:rPr>
              <w:t>16.960.846</w:t>
            </w:r>
          </w:p>
        </w:tc>
        <w:tc>
          <w:tcPr>
            <w:tcW w:w="1224" w:type="dxa"/>
          </w:tcPr>
          <w:p w:rsidR="00F244BA" w:rsidRDefault="00AC19E4">
            <w:pPr>
              <w:pStyle w:val="CellColumn"/>
              <w:jc w:val="right"/>
            </w:pPr>
            <w:r>
              <w:rPr>
                <w:rFonts w:cs="Times New Roman"/>
              </w:rPr>
              <w:t>97,9</w:t>
            </w:r>
          </w:p>
        </w:tc>
        <w:tc>
          <w:tcPr>
            <w:tcW w:w="1224" w:type="dxa"/>
          </w:tcPr>
          <w:p w:rsidR="00F244BA" w:rsidRDefault="00AC19E4">
            <w:pPr>
              <w:pStyle w:val="CellColumn"/>
              <w:jc w:val="right"/>
            </w:pPr>
            <w:r>
              <w:rPr>
                <w:rFonts w:cs="Times New Roman"/>
              </w:rPr>
              <w:t>86,9</w:t>
            </w:r>
          </w:p>
        </w:tc>
      </w:tr>
    </w:tbl>
    <w:p w:rsidR="00F244BA" w:rsidRDefault="00F244BA">
      <w:pPr>
        <w:jc w:val="left"/>
      </w:pPr>
    </w:p>
    <w:p w:rsidR="00F244BA" w:rsidRDefault="00AC19E4">
      <w:pPr>
        <w:pStyle w:val="Naslov8"/>
        <w:jc w:val="left"/>
      </w:pPr>
      <w:r>
        <w:t>Cilj 1. Unaprijediti sustav pomorskog prometa te učinkovito i sustavno upravljati pomorskim dobrom</w:t>
      </w:r>
    </w:p>
    <w:p w:rsidR="00F244BA" w:rsidRDefault="00AC19E4">
      <w:pPr>
        <w:pStyle w:val="Naslov8"/>
        <w:jc w:val="left"/>
      </w:pPr>
      <w:r>
        <w:t>Opis provedbe cilja programa</w:t>
      </w:r>
    </w:p>
    <w:p w:rsidR="00F244BA" w:rsidRDefault="00AC19E4">
      <w:r>
        <w:t>Učinkovit prometni sustav je jedan od temeljnih uvjeta za uspješan gospodarski razvoj svake suvremene države. Istovremeno, prometni sustav predstavlja i čimbenik koji je od presudne važnosti u pogledu približavanja i povezivanja Republike Hrvatske s drugim europskim državama. Države s jasno razvijenom pomorskom politikom, koja je stavljena u funkciju gospodarskog razvoja, imaju posebne pogodnosti zbog različitih djelatnosti unutar tog sustava i iznimno velikog multiplikativnog faktora pojedinih djelatnosti pomorskog gospodarstva. S tog stanovišta uviđa se kako je jedan od temeljnih preduvjeta razvoja svake države, u procesima tehnološki i ekonomski učinkovite integracije, razvijenog sustava pomorskog prometa i prometa na unutarnjim plovnim putovima uz učinkovito i sustavno upravljanje pomorskim dobrom. Razvoj sustava pomorskog prometa, tijekom 2024. godine, temeljio se na modernizaciji i restrukturiranju prometnog i pomorskog sustava Republike Hrvatske u smjeru prihvaćanja i implementiranja suvremenih tehničko-tehnoloških razvojnih modaliteta, posebice vodeći računa o održivom rastu i razvoju pomorskoga prometa.</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Povećan promet tereta u morskim lukama Republike Hrvatske</w:t>
            </w:r>
          </w:p>
        </w:tc>
        <w:tc>
          <w:tcPr>
            <w:tcW w:w="2551" w:type="dxa"/>
          </w:tcPr>
          <w:p w:rsidR="00F244BA" w:rsidRDefault="00AC19E4">
            <w:pPr>
              <w:pStyle w:val="CellColumn"/>
              <w:jc w:val="left"/>
            </w:pPr>
            <w:r>
              <w:rPr>
                <w:rFonts w:cs="Times New Roman"/>
              </w:rPr>
              <w:t xml:space="preserve">Radovima izgradnje lučke infrastrukture, osiguranja lučkog područja, gospodarske zone i plovnih putova povećat će se količina pomorskog prometa i privlačenje korisnika što će rezultirati povećanjem prekrcanog tereta u lukama   </w:t>
            </w:r>
          </w:p>
          <w:p w:rsidR="00F244BA" w:rsidRDefault="00AC19E4">
            <w:pPr>
              <w:pStyle w:val="CellColumn"/>
              <w:jc w:val="left"/>
            </w:pPr>
            <w:r>
              <w:rPr>
                <w:rFonts w:cs="Times New Roman"/>
              </w:rPr>
              <w:t>(godišnja vrijednost)</w:t>
            </w:r>
          </w:p>
        </w:tc>
        <w:tc>
          <w:tcPr>
            <w:tcW w:w="1020" w:type="dxa"/>
          </w:tcPr>
          <w:p w:rsidR="00F244BA" w:rsidRDefault="00AC19E4">
            <w:pPr>
              <w:pStyle w:val="CellColumn"/>
              <w:jc w:val="right"/>
            </w:pPr>
            <w:r>
              <w:rPr>
                <w:rFonts w:cs="Times New Roman"/>
              </w:rPr>
              <w:t>tona</w:t>
            </w:r>
          </w:p>
        </w:tc>
        <w:tc>
          <w:tcPr>
            <w:tcW w:w="1020" w:type="dxa"/>
          </w:tcPr>
          <w:p w:rsidR="00F244BA" w:rsidRDefault="00AC19E4">
            <w:pPr>
              <w:pStyle w:val="CellColumn"/>
              <w:jc w:val="right"/>
            </w:pPr>
            <w:r>
              <w:rPr>
                <w:rFonts w:cs="Times New Roman"/>
              </w:rPr>
              <w:t>21.700.000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21.850.000</w:t>
            </w:r>
          </w:p>
        </w:tc>
        <w:tc>
          <w:tcPr>
            <w:tcW w:w="1020" w:type="dxa"/>
          </w:tcPr>
          <w:p w:rsidR="00F244BA" w:rsidRDefault="00AC19E4">
            <w:pPr>
              <w:pStyle w:val="CellColumn"/>
              <w:jc w:val="right"/>
            </w:pPr>
            <w:r>
              <w:rPr>
                <w:rFonts w:cs="Times New Roman"/>
              </w:rPr>
              <w:t>23.300.000</w:t>
            </w:r>
          </w:p>
        </w:tc>
      </w:tr>
    </w:tbl>
    <w:p w:rsidR="00F244BA" w:rsidRDefault="00F244BA">
      <w:pPr>
        <w:jc w:val="left"/>
      </w:pPr>
    </w:p>
    <w:p w:rsidR="00F244BA" w:rsidRDefault="00AC19E4">
      <w:pPr>
        <w:pStyle w:val="Naslov4"/>
      </w:pPr>
      <w:r>
        <w:t>A570219 IZGRADNJA, SANACIJA I REKONSTRUKCIJA OBJEKATA PODGRADNJE U LUKAMA OTVORENIM ZA JAVNI PROMET OD ŽUPANIJSKOG I LOKALNOG ZNAČAJA TE MODERNIZACIJA, OBNOVA I IZGRADNJA RIBARSKE INFRASTRUKTURE</w:t>
      </w:r>
    </w:p>
    <w:tbl>
      <w:tblPr>
        <w:tblStyle w:val="StilTablice"/>
        <w:tblW w:w="10206" w:type="dxa"/>
        <w:jc w:val="center"/>
        <w:tblLook w:val="04A0" w:firstRow="1" w:lastRow="0" w:firstColumn="1" w:lastColumn="0" w:noHBand="0" w:noVBand="1"/>
      </w:tblPr>
      <w:tblGrid>
        <w:gridCol w:w="1893"/>
        <w:gridCol w:w="1965"/>
        <w:gridCol w:w="1965"/>
        <w:gridCol w:w="1965"/>
        <w:gridCol w:w="1205"/>
        <w:gridCol w:w="1213"/>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A570219-IZGRADNJA, SANACIJA I REKONSTRUKCIJA OBJEKATA PODGRADNJE U LUKAMA OTVORENIM ZA JAVNI PROMET OD ŽUPANIJSKOG I LOKALNOG ZNAČAJA TE MODERNIZACIJA, OBNOVA I IZGRADNJA RIBARSKE INFRASTRUKTURE</w:t>
            </w:r>
          </w:p>
        </w:tc>
        <w:tc>
          <w:tcPr>
            <w:tcW w:w="2041" w:type="dxa"/>
          </w:tcPr>
          <w:p w:rsidR="00F244BA" w:rsidRDefault="00AC19E4">
            <w:pPr>
              <w:pStyle w:val="CellColumn"/>
              <w:jc w:val="right"/>
            </w:pPr>
            <w:r>
              <w:rPr>
                <w:rFonts w:cs="Times New Roman"/>
              </w:rPr>
              <w:t>17.606.452</w:t>
            </w:r>
          </w:p>
        </w:tc>
        <w:tc>
          <w:tcPr>
            <w:tcW w:w="2041" w:type="dxa"/>
          </w:tcPr>
          <w:p w:rsidR="00F244BA" w:rsidRDefault="00AC19E4">
            <w:pPr>
              <w:pStyle w:val="CellColumn"/>
              <w:jc w:val="right"/>
            </w:pPr>
            <w:r>
              <w:rPr>
                <w:rFonts w:cs="Times New Roman"/>
              </w:rPr>
              <w:t>14.714.828</w:t>
            </w:r>
          </w:p>
        </w:tc>
        <w:tc>
          <w:tcPr>
            <w:tcW w:w="2041" w:type="dxa"/>
          </w:tcPr>
          <w:p w:rsidR="00F244BA" w:rsidRDefault="00AC19E4">
            <w:pPr>
              <w:pStyle w:val="CellColumn"/>
              <w:jc w:val="right"/>
            </w:pPr>
            <w:r>
              <w:rPr>
                <w:rFonts w:cs="Times New Roman"/>
              </w:rPr>
              <w:t>14.614.008</w:t>
            </w:r>
          </w:p>
        </w:tc>
        <w:tc>
          <w:tcPr>
            <w:tcW w:w="1224" w:type="dxa"/>
          </w:tcPr>
          <w:p w:rsidR="00F244BA" w:rsidRDefault="00AC19E4">
            <w:pPr>
              <w:pStyle w:val="CellColumn"/>
              <w:jc w:val="right"/>
            </w:pPr>
            <w:r>
              <w:rPr>
                <w:rFonts w:cs="Times New Roman"/>
              </w:rPr>
              <w:t>99,3</w:t>
            </w:r>
          </w:p>
        </w:tc>
        <w:tc>
          <w:tcPr>
            <w:tcW w:w="1224" w:type="dxa"/>
          </w:tcPr>
          <w:p w:rsidR="00F244BA" w:rsidRDefault="00AC19E4">
            <w:pPr>
              <w:pStyle w:val="CellColumn"/>
              <w:jc w:val="right"/>
            </w:pPr>
            <w:r>
              <w:rPr>
                <w:rFonts w:cs="Times New Roman"/>
              </w:rPr>
              <w:t>83,0</w:t>
            </w:r>
          </w:p>
        </w:tc>
      </w:tr>
    </w:tbl>
    <w:p w:rsidR="00F244BA" w:rsidRDefault="00F244BA">
      <w:pPr>
        <w:jc w:val="left"/>
      </w:pPr>
    </w:p>
    <w:p w:rsidR="00F244BA" w:rsidRDefault="00AC19E4">
      <w:pPr>
        <w:pStyle w:val="Naslov8"/>
        <w:jc w:val="left"/>
      </w:pPr>
      <w:r>
        <w:t>Zakonske i druge pravne osnove</w:t>
      </w:r>
    </w:p>
    <w:p w:rsidR="00F244BA" w:rsidRDefault="00AC19E4">
      <w:r>
        <w:t>- Zakon o pomorskom dobru i morskim lukama, članak 40.</w:t>
      </w:r>
    </w:p>
    <w:p w:rsidR="00F244BA" w:rsidRDefault="00AC19E4">
      <w:pPr>
        <w:pStyle w:val="Naslov8"/>
        <w:jc w:val="left"/>
      </w:pPr>
      <w:r>
        <w:t>Opis aktivnosti</w:t>
      </w:r>
    </w:p>
    <w:p w:rsidR="00F244BA" w:rsidRDefault="00AC19E4">
      <w:r>
        <w:t xml:space="preserve">Sredstvima s ove aktivnosti sufinancirana je osnovna infrastruktura važnijih građevina u lukama otvorenim za javni promet od županijskog i lokalnog značaja s ciljem razvoja i modernizacije pomorskog linijskog prometa tj. povećanje sigurnosti i unapređenje kvalitete javnog pomorskog prijevoza na povezivanju otoka s kopnom i otoka međusobno.   </w:t>
      </w:r>
    </w:p>
    <w:p w:rsidR="00F244BA" w:rsidRDefault="00AC19E4">
      <w:r>
        <w:t xml:space="preserve"> </w:t>
      </w:r>
    </w:p>
    <w:p w:rsidR="00F244BA" w:rsidRDefault="00AC19E4">
      <w:r>
        <w:t xml:space="preserve">Ukupno je u 2024. godini od strane ovog Ministarstva sufinancirano 28 projekata u nadležnosti županijskih lučkih uprava, a sredstva su dodijeljena kako slijedi:   </w:t>
      </w:r>
    </w:p>
    <w:p w:rsidR="00F244BA" w:rsidRDefault="00AC19E4">
      <w:r>
        <w:t>1.</w:t>
      </w:r>
      <w:r>
        <w:tab/>
        <w:t xml:space="preserve">Lučkoj upravi Rabac, iznos od 18.000 €, za izvođenje radova:  „Ugradnja ormarića za struju i vodu“, </w:t>
      </w:r>
    </w:p>
    <w:p w:rsidR="00F244BA" w:rsidRDefault="00AC19E4">
      <w:r>
        <w:t>2.</w:t>
      </w:r>
      <w:r>
        <w:tab/>
        <w:t xml:space="preserve">Lučkoj upravi Poreč, iznos od 350.000 €, za izvođenje radova: „Rekonstrukcija - uređenje luke Funtana“, </w:t>
      </w:r>
    </w:p>
    <w:p w:rsidR="00F244BA" w:rsidRDefault="00AC19E4">
      <w:r>
        <w:t>3.</w:t>
      </w:r>
      <w:r>
        <w:tab/>
        <w:t xml:space="preserve">Lučkoj upravi Umag-Novigrad, iznos od 159.000 €, za izvođenje radova: „Rekonstrukcija i uređenje  luke Novigrad - Mandrač“, </w:t>
      </w:r>
    </w:p>
    <w:p w:rsidR="00F244BA" w:rsidRDefault="00AC19E4">
      <w:r>
        <w:t>4.</w:t>
      </w:r>
      <w:r>
        <w:tab/>
        <w:t xml:space="preserve">Lučkoj upravi Krk, iznos od 436.040,20 €, za izvođenje radova: „Dogradnja luke Baška – 3. faza“, </w:t>
      </w:r>
    </w:p>
    <w:p w:rsidR="00F244BA" w:rsidRDefault="00AC19E4">
      <w:r>
        <w:t>5.</w:t>
      </w:r>
      <w:r>
        <w:tab/>
        <w:t xml:space="preserve">Županijskoj lučkoj upravi Mali Lošinj,  iznos od 825.000 € za izvođenje radova: „Sanacija obalnog zida "Vele rive" u Malom Lošinju“, </w:t>
      </w:r>
    </w:p>
    <w:p w:rsidR="00F244BA" w:rsidRDefault="00AC19E4">
      <w:r>
        <w:t>6.</w:t>
      </w:r>
      <w:r>
        <w:tab/>
        <w:t xml:space="preserve">Županijskoj lučkoj upravi Cres, iznos od 300.000 €, za izvođenje radova: „Rekonstrukcija i dogradnja zapadnog dijela luke Cres – III faza“, </w:t>
      </w:r>
    </w:p>
    <w:p w:rsidR="00F244BA" w:rsidRDefault="00AC19E4">
      <w:r>
        <w:t>7.</w:t>
      </w:r>
      <w:r>
        <w:tab/>
        <w:t xml:space="preserve">Županijskoj lučkoj upravi Rab, iznos od 300.000 €, za izvođenje radova: „Rekonstrukcija i sanacija obala u luci San Marino“, </w:t>
      </w:r>
    </w:p>
    <w:p w:rsidR="00F244BA" w:rsidRDefault="00AC19E4">
      <w:r>
        <w:t>8.</w:t>
      </w:r>
      <w:r>
        <w:tab/>
        <w:t xml:space="preserve">Županijskoj lučkoj upravi Rab, iznos od 236.295 €, za izvođenje radova: „Sanacija i rekonstrukcija luke Kamporska Draga“, </w:t>
      </w:r>
    </w:p>
    <w:p w:rsidR="00F244BA" w:rsidRDefault="00AC19E4">
      <w:r>
        <w:t>9.</w:t>
      </w:r>
      <w:r>
        <w:tab/>
        <w:t xml:space="preserve">Županijskoj lučkoj upravi Rab, iznos od 1.335.273,05 €, za izvođenje radova: „Sanacija i rekonstrukcija luke Melak II. faza“, </w:t>
      </w:r>
    </w:p>
    <w:p w:rsidR="00F244BA" w:rsidRDefault="00AC19E4">
      <w:r>
        <w:t>10.</w:t>
      </w:r>
      <w:r>
        <w:tab/>
        <w:t xml:space="preserve">Županijskoj lučkoj upravi Crikvenica, iznos od 500.000 €, za izvođenje radova: „Izgradnja privezišta Jadranovo“, </w:t>
      </w:r>
    </w:p>
    <w:p w:rsidR="00F244BA" w:rsidRDefault="00AC19E4">
      <w:r>
        <w:t>11.</w:t>
      </w:r>
      <w:r>
        <w:tab/>
        <w:t xml:space="preserve">Županijskoj lučkoj upravi Opatija-Lovran-Mošćenička Draga, iznos od 40.000 €, za izvođenje radova: „Rekonstrukcija privezišta Admiral u lojp Opatija – obalni zid i zaobalna površina“, </w:t>
      </w:r>
    </w:p>
    <w:p w:rsidR="00F244BA" w:rsidRDefault="00AC19E4">
      <w:r>
        <w:t>12.</w:t>
      </w:r>
      <w:r>
        <w:tab/>
        <w:t xml:space="preserve">Lučkoj upravi Novalja, iznos od 431.532,55 €, za izvođenje radova: „Rekonstrukcija i dogradnja luke otvorene za javni promet u gradu Novalja – 2. faza“, </w:t>
      </w:r>
    </w:p>
    <w:p w:rsidR="00F244BA" w:rsidRDefault="00AC19E4">
      <w:r>
        <w:t>13.</w:t>
      </w:r>
      <w:r>
        <w:tab/>
        <w:t xml:space="preserve">Lučkoj upravi Senj, iznos od 250.000 €, za izvođenje radova: „Izvanredno održavanje dijela luke Barić Draga II., III. i IV. Faza“, </w:t>
      </w:r>
    </w:p>
    <w:p w:rsidR="00F244BA" w:rsidRDefault="00AC19E4">
      <w:r>
        <w:lastRenderedPageBreak/>
        <w:t>14.</w:t>
      </w:r>
      <w:r>
        <w:tab/>
        <w:t xml:space="preserve">Lučkoj upravi Senj, iznosu od 450.000 €, za izvođenje radova: „Izvanredno održavanje dijela luke Karlobag – III faza“, </w:t>
      </w:r>
    </w:p>
    <w:p w:rsidR="00F244BA" w:rsidRDefault="00AC19E4">
      <w:r>
        <w:t>15.</w:t>
      </w:r>
      <w:r>
        <w:tab/>
        <w:t xml:space="preserve">Lučkoj upravi Senj, iznos od 121.540 €, za izvođenje radova: „Izvanredno održavanje luke Senj – 1 i 2 etapa, VI faza“, </w:t>
      </w:r>
    </w:p>
    <w:p w:rsidR="00F244BA" w:rsidRDefault="00AC19E4">
      <w:r>
        <w:t>16.</w:t>
      </w:r>
      <w:r>
        <w:tab/>
        <w:t xml:space="preserve">Lučkoj upravi Senj, iznos od 400.000 €, za izvođenje radova: „Izvanredno održavanje luke Senj – 3 etapa – VI faza“, </w:t>
      </w:r>
    </w:p>
    <w:p w:rsidR="00F244BA" w:rsidRDefault="00AC19E4">
      <w:r>
        <w:t>17.</w:t>
      </w:r>
      <w:r>
        <w:tab/>
        <w:t xml:space="preserve">Županijskoj lučkoj upravi Zadar, iznos od 250.000 €, za izvođenje radova: „Sanacija glavnog lukobrana i gata u luci Ražanac“, </w:t>
      </w:r>
    </w:p>
    <w:p w:rsidR="00F244BA" w:rsidRDefault="00AC19E4">
      <w:r>
        <w:t>18.</w:t>
      </w:r>
      <w:r>
        <w:tab/>
        <w:t xml:space="preserve">Županijskoj lučkoj upravi Zadar, iznos od 130.000 €, za izvođenje radova: „Sanacija luke Pašman“, </w:t>
      </w:r>
    </w:p>
    <w:p w:rsidR="00F244BA" w:rsidRDefault="00AC19E4">
      <w:r>
        <w:t>19.</w:t>
      </w:r>
      <w:r>
        <w:tab/>
        <w:t xml:space="preserve">Županijskoj lučkoj upravi Zadar, iznos od 500.000 €, za izvođenje radova: „Sanacija lukobranskog objekta gradske luke Biograd n/m“, </w:t>
      </w:r>
    </w:p>
    <w:p w:rsidR="00F244BA" w:rsidRDefault="00AC19E4">
      <w:r>
        <w:t>20.</w:t>
      </w:r>
      <w:r>
        <w:tab/>
        <w:t xml:space="preserve">Županijskoj lučkoj upravi Zadar, iznos od 200.000 €, za izvođenje radova: „Sanacija glave lukobrana u luci Miškovci“, </w:t>
      </w:r>
    </w:p>
    <w:p w:rsidR="00F244BA" w:rsidRDefault="00AC19E4">
      <w:r>
        <w:t>21.</w:t>
      </w:r>
      <w:r>
        <w:tab/>
        <w:t xml:space="preserve">Županijskoj lučkoj upravi Zadar, iznos od 100.000 €, za izvođenje radova: „Sanacija obalnog pojasa luke Bibinje“. </w:t>
      </w:r>
    </w:p>
    <w:p w:rsidR="00F244BA" w:rsidRDefault="00AC19E4">
      <w:r>
        <w:t>22.</w:t>
      </w:r>
      <w:r>
        <w:tab/>
        <w:t xml:space="preserve">Županijskoj lučkoj upravi Zadar, iznos od 200.000 €, za izvođenje radova: „Uklanjanje naplavnog materijala u akvatoriju Ninske uvale“, </w:t>
      </w:r>
    </w:p>
    <w:p w:rsidR="00F244BA" w:rsidRDefault="00AC19E4">
      <w:r>
        <w:t>23.</w:t>
      </w:r>
      <w:r>
        <w:tab/>
        <w:t xml:space="preserve">Županijskoj lučkoj upravi Šibensko–Kninske županije, iznos od 140.000 €, za izvođenje radova:  „Sanacija obalnog pojasa lučkog područja Krapanj“, </w:t>
      </w:r>
    </w:p>
    <w:p w:rsidR="00F244BA" w:rsidRDefault="00AC19E4">
      <w:r>
        <w:t>24.</w:t>
      </w:r>
      <w:r>
        <w:tab/>
        <w:t xml:space="preserve">Županijskoj lučkoj upravi Šibensko–Kninske županije, iznos od 213.285,73 €, za izvođenje radova: „Uređenje dijela obale Rogoznica – Obuhvat 3“, </w:t>
      </w:r>
    </w:p>
    <w:p w:rsidR="00F244BA" w:rsidRDefault="00AC19E4">
      <w:r>
        <w:t>25.</w:t>
      </w:r>
      <w:r>
        <w:tab/>
        <w:t xml:space="preserve">Županijskoj lučkoj upravi Šibensko–Kninske županije, iznos od 450.000 €, za izvođenje radova:  „Rekonstrukcija donje rive u Tribunju“, </w:t>
      </w:r>
    </w:p>
    <w:p w:rsidR="00F244BA" w:rsidRDefault="00AC19E4">
      <w:r>
        <w:t>26.</w:t>
      </w:r>
      <w:r>
        <w:tab/>
        <w:t xml:space="preserve">Županijskoj lučkoj upravi Splitsko–dalmatinske županije, iznos od 444.000 €, za izvođenje radova:  „Rekonstrukcija obalnog zida i dogradnja obale – predio Racić luka Milna“, </w:t>
      </w:r>
    </w:p>
    <w:p w:rsidR="00F244BA" w:rsidRDefault="00AC19E4">
      <w:r>
        <w:t>27.</w:t>
      </w:r>
      <w:r>
        <w:tab/>
        <w:t xml:space="preserve">Županijskoj lučkoj upravi Splitsko–dalmatinske županije, iznos od 351.147,90 €, za izvođenje radova: „Uređenje sjeverne obale luke Jelsa“, </w:t>
      </w:r>
    </w:p>
    <w:p w:rsidR="00F244BA" w:rsidRDefault="00AC19E4">
      <w:r>
        <w:t>28.</w:t>
      </w:r>
      <w:r>
        <w:tab/>
        <w:t xml:space="preserve">Županijskoj lučkoj upravi Dubrovačko-neretvanske županije, iznos od 1.618.066 €, za izvođenje radova: „Sanacija dijela obale i izgradnje gata u luci Cavtat“. </w:t>
      </w:r>
    </w:p>
    <w:p w:rsidR="00F244BA" w:rsidRDefault="00AC19E4">
      <w:r>
        <w:t xml:space="preserve">  </w:t>
      </w:r>
    </w:p>
    <w:p w:rsidR="00F244BA" w:rsidRDefault="00AC19E4">
      <w:r>
        <w:t xml:space="preserve">Od ukupno osiguranog iznosa od 10.750.000 € utrošeno je 10.749.180,43 €.  </w:t>
      </w:r>
    </w:p>
    <w:p w:rsidR="00F244BA" w:rsidRDefault="00AC19E4">
      <w:r>
        <w:t xml:space="preserve">S ove aktivnosti sufinancirana je i izgradnja, sanacija i rekonstrukcija pomorskog dobra u općoj upotrebi u 2024. godini. Za navedenu namjenu u proračunu su bila osigurana sredstva u ukupnom iznosu od 3.964.828 €. Sufinanciran je 47 projekt iz nadležnosti jedinica lokalne samouprave te je od ukupno osiguranog iznosa utrošeno ukupno 3.864.828 €, a sredstva su dodijeljena kako slijedi:  </w:t>
      </w:r>
    </w:p>
    <w:p w:rsidR="00F244BA" w:rsidRDefault="00AC19E4">
      <w:r>
        <w:t>1.</w:t>
      </w:r>
      <w:r>
        <w:tab/>
        <w:t xml:space="preserve">Gradu Vodnjanu, iznos od 50.000 €, za izvođenje radova: „Uređenje plaže "Martulina" u peroju s rekonstrukcijom postojećih molova“, </w:t>
      </w:r>
    </w:p>
    <w:p w:rsidR="00F244BA" w:rsidRDefault="00AC19E4">
      <w:r>
        <w:t>2.</w:t>
      </w:r>
      <w:r>
        <w:tab/>
        <w:t xml:space="preserve">Gradu Novom Vinodolskom, iznos od 50.000 €, za izvođenje radova: „Sanacija obale u Klenovici“, </w:t>
      </w:r>
    </w:p>
    <w:p w:rsidR="00F244BA" w:rsidRDefault="00AC19E4">
      <w:r>
        <w:t>3.</w:t>
      </w:r>
      <w:r>
        <w:tab/>
        <w:t xml:space="preserve">Gradu Novom Vinodolskom, iznos od 50.000 €, za izvođenje radova: „Sanacija obale u Novom Vinodolskom“, </w:t>
      </w:r>
    </w:p>
    <w:p w:rsidR="00F244BA" w:rsidRDefault="00AC19E4">
      <w:r>
        <w:t>4.</w:t>
      </w:r>
      <w:r>
        <w:tab/>
        <w:t xml:space="preserve">Gradu Kraljevici, iznos od 20.000 €, za izvođenje radova: „Sanacija obalnog zida šetnice Oštro, na dijelu k.č. 4127/8 i na dijelu k.č. 4141/2, sve k.o. Kraljevica“, </w:t>
      </w:r>
    </w:p>
    <w:p w:rsidR="00F244BA" w:rsidRDefault="00AC19E4">
      <w:r>
        <w:t>5.</w:t>
      </w:r>
      <w:r>
        <w:tab/>
        <w:t xml:space="preserve">Gradu Kraljevici, iznos od 100.000 €, za izvođenje radova: „ Sanacija plaže na Carovu, na dijelu k.č. 1/2, k.o. Kraljevica “, </w:t>
      </w:r>
    </w:p>
    <w:p w:rsidR="00F244BA" w:rsidRDefault="00AC19E4">
      <w:r>
        <w:t>6.</w:t>
      </w:r>
      <w:r>
        <w:tab/>
        <w:t xml:space="preserve">Gradu Rabu, iznos od 100.000 €, za izvođenje radova: „Sanacija partera šetališta fra. Odorika Badurine u Gradu Rabu - 3. dionica“, </w:t>
      </w:r>
    </w:p>
    <w:p w:rsidR="00F244BA" w:rsidRDefault="00AC19E4">
      <w:r>
        <w:lastRenderedPageBreak/>
        <w:t>7.</w:t>
      </w:r>
      <w:r>
        <w:tab/>
        <w:t xml:space="preserve">Općini Lopar, iznos od 100.000 €, za izvođenje radova: „Sanacija obalnog zida na k.č. 10320 i dr. k.o. Lopar“, </w:t>
      </w:r>
    </w:p>
    <w:p w:rsidR="00F244BA" w:rsidRDefault="00AC19E4">
      <w:r>
        <w:t>8.</w:t>
      </w:r>
      <w:r>
        <w:tab/>
        <w:t xml:space="preserve">Gradu Crikvenici, iznos od 110.000 €, za izvođenje radova: „Sanacija potpornih zidova u uvali Havišće“,  </w:t>
      </w:r>
    </w:p>
    <w:p w:rsidR="00F244BA" w:rsidRDefault="00AC19E4">
      <w:r>
        <w:t>9.</w:t>
      </w:r>
      <w:r>
        <w:tab/>
        <w:t xml:space="preserve">Gradu Malom Lošinju, iznos od 250.000 €, za izvođenje radova: „Šetnica na otoku Susku“, </w:t>
      </w:r>
    </w:p>
    <w:p w:rsidR="00F244BA" w:rsidRDefault="00AC19E4">
      <w:r>
        <w:t>10.</w:t>
      </w:r>
      <w:r>
        <w:tab/>
        <w:t xml:space="preserve">Gradu Opatiji, iznos od 100.000 €, za izvođenje radova: „Uređenje plaže Tomaševac“, </w:t>
      </w:r>
    </w:p>
    <w:p w:rsidR="00F244BA" w:rsidRDefault="00AC19E4">
      <w:r>
        <w:t>11.</w:t>
      </w:r>
      <w:r>
        <w:tab/>
        <w:t xml:space="preserve">Općini Mošćenička Draga, iznos od 40.000 €, za izvođenje radova: „Sanacija i uređenje plaže za pse - Sveti Ivan na dijelu k.č. 893/11 i k.č. 893/62 k.o. Mošćenice“, </w:t>
      </w:r>
    </w:p>
    <w:p w:rsidR="00F244BA" w:rsidRDefault="00AC19E4">
      <w:r>
        <w:t>12.</w:t>
      </w:r>
      <w:r>
        <w:tab/>
        <w:t xml:space="preserve">Gradu Senju, iznos od 140.000 €, za izvođenje radova: „Kupalište Banja - Sanacija i obnova postojeće zgrade i dijela pripadajućeg okoliša - Jablanac“, </w:t>
      </w:r>
    </w:p>
    <w:p w:rsidR="00F244BA" w:rsidRDefault="00AC19E4">
      <w:r>
        <w:t>13.</w:t>
      </w:r>
      <w:r>
        <w:tab/>
        <w:t xml:space="preserve">Gradu Novalji, iznos od 80.000 €, za izvođenje radova: „Izgradnja šetnice oko Punte Vrtića - faza II.“, </w:t>
      </w:r>
    </w:p>
    <w:p w:rsidR="00F244BA" w:rsidRDefault="00AC19E4">
      <w:r>
        <w:t>14.</w:t>
      </w:r>
      <w:r>
        <w:tab/>
        <w:t xml:space="preserve">Općini Jasenice, iznos od 68.784,75 €, za izvođenje radova: „Projekt uređenja šetnice Bunarić - Vrulja u Maslenici“, </w:t>
      </w:r>
    </w:p>
    <w:p w:rsidR="00F244BA" w:rsidRDefault="00AC19E4">
      <w:r>
        <w:t>15.</w:t>
      </w:r>
      <w:r>
        <w:tab/>
        <w:t xml:space="preserve">Općini Novigrad, iznos od 70.000 €, za izvođenje radova: „Uređenje glavne plaže u Novigradu - 3.faza“, </w:t>
      </w:r>
    </w:p>
    <w:p w:rsidR="00F244BA" w:rsidRDefault="00AC19E4">
      <w:r>
        <w:t>16.</w:t>
      </w:r>
      <w:r>
        <w:tab/>
        <w:t xml:space="preserve">Općini Novigrad, iznos od 58.278 €, za izvođenje radova: „Uređenje plaže Ćuskijaš u Pridrazi“, </w:t>
      </w:r>
    </w:p>
    <w:p w:rsidR="00F244BA" w:rsidRDefault="00AC19E4">
      <w:r>
        <w:t>17.</w:t>
      </w:r>
      <w:r>
        <w:tab/>
        <w:t xml:space="preserve">Općini Vir, iznos od 26.550 €, za izvođenje radova: „Sanacija betonske šetnice“, </w:t>
      </w:r>
    </w:p>
    <w:p w:rsidR="00F244BA" w:rsidRDefault="00AC19E4">
      <w:r>
        <w:t>18.</w:t>
      </w:r>
      <w:r>
        <w:tab/>
        <w:t xml:space="preserve">Gradu Ninu, iznos od 90.000 €, za izvođenje radova: „Uklanjanje naplavnog sloja materijala u zoni luke Nin -  faza III“, </w:t>
      </w:r>
    </w:p>
    <w:p w:rsidR="00F244BA" w:rsidRDefault="00AC19E4">
      <w:r>
        <w:t>19.</w:t>
      </w:r>
      <w:r>
        <w:tab/>
        <w:t xml:space="preserve">Općini Privlaka, iznos od 76.491 €, za izvođenje radova: „Uređenje pokosa - Plaža Sabunike na pomorskom dobru na dijelu k.č.br. 9278/1, k.o. Privlaka“, </w:t>
      </w:r>
    </w:p>
    <w:p w:rsidR="00F244BA" w:rsidRDefault="00AC19E4">
      <w:r>
        <w:t>20.</w:t>
      </w:r>
      <w:r>
        <w:tab/>
        <w:t xml:space="preserve">Općini Sukošan, iznos od 214.806,74 €, za izvođenje radova: „Izgradnja i uređenje obalnog pojasa prema UPU u Sukošanu - predio Makarska“, </w:t>
      </w:r>
    </w:p>
    <w:p w:rsidR="00F244BA" w:rsidRDefault="00AC19E4">
      <w:r>
        <w:t>21.</w:t>
      </w:r>
      <w:r>
        <w:tab/>
        <w:t xml:space="preserve">Općini Starigrad, iznos od 100.000 €, za izvođenje radova: „Uređenje središnjeg obalnog pojasa naselja Starigrad Paklenica - 2. podfaza“, </w:t>
      </w:r>
    </w:p>
    <w:p w:rsidR="00F244BA" w:rsidRDefault="00AC19E4">
      <w:r>
        <w:t>22.</w:t>
      </w:r>
      <w:r>
        <w:tab/>
        <w:t xml:space="preserve">Općini Sveti Filip i Jakov, iznos od 130.000 €, za izvođenje radova: „Uređenje plaže Morovička u Turnju, FAZA 4“, </w:t>
      </w:r>
    </w:p>
    <w:p w:rsidR="00F244BA" w:rsidRDefault="00AC19E4">
      <w:r>
        <w:t>23.</w:t>
      </w:r>
      <w:r>
        <w:tab/>
        <w:t xml:space="preserve">Gradu Obrovcu, iznos od 80.000 €, za izvođenje radova: „Sanacija gatova na području Grada Obrovca“, </w:t>
      </w:r>
    </w:p>
    <w:p w:rsidR="00F244BA" w:rsidRDefault="00AC19E4">
      <w:r>
        <w:t>24.</w:t>
      </w:r>
      <w:r>
        <w:tab/>
        <w:t xml:space="preserve">Općini Pašman, iznos od 100.000 €, za izvođenje radova: „Sanacija zaštitne školjere protiv erozije obale u naselju Banj“, </w:t>
      </w:r>
    </w:p>
    <w:p w:rsidR="00F244BA" w:rsidRDefault="00AC19E4">
      <w:r>
        <w:t>25.</w:t>
      </w:r>
      <w:r>
        <w:tab/>
        <w:t xml:space="preserve">Općini Povljana, iznos od 90.000 €, za izvođenje radova: „Uređenje plaže Livade u Povljani - I.(prva) faza“, </w:t>
      </w:r>
    </w:p>
    <w:p w:rsidR="00F244BA" w:rsidRDefault="00AC19E4">
      <w:r>
        <w:t>26.</w:t>
      </w:r>
      <w:r>
        <w:tab/>
        <w:t xml:space="preserve">Gradu Biogradu na Moru, iznos od 130.000 €, za izvođenje radova: „Sanacija gata na plaži Soline“, </w:t>
      </w:r>
    </w:p>
    <w:p w:rsidR="00F244BA" w:rsidRDefault="00AC19E4">
      <w:r>
        <w:t>27.</w:t>
      </w:r>
      <w:r>
        <w:tab/>
        <w:t xml:space="preserve">Općini Tkon, iznos od 100.000 €, za izvođenje radova: „Uređenje istočnog dijela plaže Vruljice, Općina Tkon “, </w:t>
      </w:r>
    </w:p>
    <w:p w:rsidR="00F244BA" w:rsidRDefault="00AC19E4">
      <w:r>
        <w:t>28.</w:t>
      </w:r>
      <w:r>
        <w:tab/>
        <w:t xml:space="preserve">Općini Ražanac, iznos od 100.000 €, za izvođenje radova: „Sanacija i opremanje plaže "Puntica" Ražanac II. Faza“, </w:t>
      </w:r>
    </w:p>
    <w:p w:rsidR="00F244BA" w:rsidRDefault="00AC19E4">
      <w:r>
        <w:t>29.</w:t>
      </w:r>
      <w:r>
        <w:tab/>
        <w:t xml:space="preserve">Općini Pirovac, iznos od 20.000 €, za izvođenje radova: „Uređenje obalnog pojasa i šetnice u Starinama, Pirovac“, </w:t>
      </w:r>
    </w:p>
    <w:p w:rsidR="00F244BA" w:rsidRDefault="00AC19E4">
      <w:r>
        <w:t>30.</w:t>
      </w:r>
      <w:r>
        <w:tab/>
        <w:t xml:space="preserve">Općini Murter-Kornati, iznos od 40.000 €, za izvođenje radova: „Postavljanje javne rasvjete na edukativno-poučnoj uzobalnoj šetnici“, </w:t>
      </w:r>
    </w:p>
    <w:p w:rsidR="00F244BA" w:rsidRDefault="00AC19E4">
      <w:r>
        <w:t>31.</w:t>
      </w:r>
      <w:r>
        <w:tab/>
        <w:t xml:space="preserve">Gradu Vodicama, iznos od 60.000 €, za izvođenje radova: „Uređenje šetnice s pripadajućim zelenilom na č.z. 4610 u Prvić Šepurine“, </w:t>
      </w:r>
    </w:p>
    <w:p w:rsidR="00F244BA" w:rsidRDefault="00AC19E4">
      <w:r>
        <w:t>32.</w:t>
      </w:r>
      <w:r>
        <w:tab/>
        <w:t xml:space="preserve">Općini Rogoznica, iznos od 130.000 €, za izvođenje radova: „Sanacija obale u Rogoznici“, </w:t>
      </w:r>
    </w:p>
    <w:p w:rsidR="00F244BA" w:rsidRDefault="00AC19E4">
      <w:r>
        <w:t>33.</w:t>
      </w:r>
      <w:r>
        <w:tab/>
        <w:t xml:space="preserve">Gradu Skradinu, iznos od 60.000 €, za izvođenje radova: „Uređenje partera uz novu rivu uvale "Mala jaruga"“, </w:t>
      </w:r>
    </w:p>
    <w:p w:rsidR="00F244BA" w:rsidRDefault="00AC19E4">
      <w:r>
        <w:t>34.</w:t>
      </w:r>
      <w:r>
        <w:tab/>
        <w:t xml:space="preserve">Gradu Šibeniku, iznos od 50.000 €, za izvođenje radova: „Sanacija pomorskog dobra - predio Banovci-Grebaštica“, </w:t>
      </w:r>
    </w:p>
    <w:p w:rsidR="00F244BA" w:rsidRDefault="00AC19E4">
      <w:r>
        <w:lastRenderedPageBreak/>
        <w:t>35.</w:t>
      </w:r>
      <w:r>
        <w:tab/>
        <w:t xml:space="preserve">Gradu Šibeniku, iznos od 59.917,50 €, za izvođenje radova: „Sanacija pomorskog dobra - plaža Sv. Mihovila u Raslini - faza III“, </w:t>
      </w:r>
    </w:p>
    <w:p w:rsidR="00F244BA" w:rsidRDefault="00AC19E4">
      <w:r>
        <w:t>36.</w:t>
      </w:r>
      <w:r>
        <w:tab/>
        <w:t xml:space="preserve">Općini Postira, iznos od 50.000 €, za izvođenje radova: „Dobava i montaža zaštitne ograde na šetnici Lungo mare na pomorskom dobru“, </w:t>
      </w:r>
    </w:p>
    <w:p w:rsidR="00F244BA" w:rsidRDefault="00AC19E4">
      <w:r>
        <w:t>37.</w:t>
      </w:r>
      <w:r>
        <w:tab/>
        <w:t xml:space="preserve">Općini Podstrana, iznos od 100.000 €, za izvođenje radova: „Sanacija obalnog pojasa u Strožancu“, </w:t>
      </w:r>
    </w:p>
    <w:p w:rsidR="00F244BA" w:rsidRDefault="00AC19E4">
      <w:r>
        <w:t>38.</w:t>
      </w:r>
      <w:r>
        <w:tab/>
        <w:t xml:space="preserve">Općini Podstrana, iznos od 50.000 €, za izvođenje radova: „Sanacija obalnog pojasa u Podstrani - faza I“, </w:t>
      </w:r>
    </w:p>
    <w:p w:rsidR="00F244BA" w:rsidRDefault="00AC19E4">
      <w:r>
        <w:t>39.</w:t>
      </w:r>
      <w:r>
        <w:tab/>
        <w:t xml:space="preserve">Općini Podgora, iznos od 100.000 €, za izvođenje radova: „Uređenje dijela obale u Podgori - skalinada“, </w:t>
      </w:r>
    </w:p>
    <w:p w:rsidR="00F244BA" w:rsidRDefault="00AC19E4">
      <w:r>
        <w:t>40.</w:t>
      </w:r>
      <w:r>
        <w:tab/>
        <w:t xml:space="preserve">Općini Sutivan, iznos od 20.000 €, za izvođenje radova: „Zamjena i ugradnja plažnih tuševa (12 komada) te zamjena plutajuće zaštitne ograde za plaže i kupališta (konopa i bova - 1.5 km)“, </w:t>
      </w:r>
    </w:p>
    <w:p w:rsidR="00F244BA" w:rsidRDefault="00AC19E4">
      <w:r>
        <w:t>41.</w:t>
      </w:r>
      <w:r>
        <w:tab/>
        <w:t xml:space="preserve">Gradu Hvaru, iznos od 100.000 €, za izvođenje radova: „Sanacija pomorsko građevinskih objekata plivališta Bonj“, </w:t>
      </w:r>
    </w:p>
    <w:p w:rsidR="00F244BA" w:rsidRDefault="00AC19E4">
      <w:r>
        <w:t>42.</w:t>
      </w:r>
      <w:r>
        <w:tab/>
        <w:t xml:space="preserve">Općini Sućaraj, iznos od 100.000 €, za izvođenje radova: „Sanacija i uređenje obalnog pojasa uvala Česminica - kopneni dio plaže - II faza“, </w:t>
      </w:r>
    </w:p>
    <w:p w:rsidR="00F244BA" w:rsidRDefault="00AC19E4">
      <w:r>
        <w:t>43.</w:t>
      </w:r>
      <w:r>
        <w:tab/>
        <w:t xml:space="preserve">Općini Bol, iznos od 50.000 €, za izvođenje radova: „Vježbalište Borak“, </w:t>
      </w:r>
    </w:p>
    <w:p w:rsidR="00F244BA" w:rsidRDefault="00AC19E4">
      <w:r>
        <w:t>44.</w:t>
      </w:r>
      <w:r>
        <w:tab/>
        <w:t xml:space="preserve">Općini Tučepi, iznos od 50.000 €, za izvođenje radova: „Održavanje (sanacija) pomorskog dobra - obalne šetnice u Tučepima“, </w:t>
      </w:r>
    </w:p>
    <w:p w:rsidR="00F244BA" w:rsidRDefault="00AC19E4">
      <w:r>
        <w:t>45.</w:t>
      </w:r>
      <w:r>
        <w:tab/>
        <w:t xml:space="preserve">Gradu Pločama, iznos od 50.000 €, za izvođenje radova: „Uređenje plaže Portina u Pločama“, </w:t>
      </w:r>
    </w:p>
    <w:p w:rsidR="00F244BA" w:rsidRDefault="00AC19E4">
      <w:r>
        <w:t>46.</w:t>
      </w:r>
      <w:r>
        <w:tab/>
        <w:t xml:space="preserve">Općini Orebić, iznos od 100.000 €, za izvođenje radova: „Uređenje ispusta potoka u Jadransko more u mjestu Trstenik“, </w:t>
      </w:r>
    </w:p>
    <w:p w:rsidR="00F244BA" w:rsidRDefault="00AC19E4">
      <w:r>
        <w:t>47.</w:t>
      </w:r>
      <w:r>
        <w:tab/>
        <w:t>Općini Župi dubrovačkoj, iznos od 50.000 €, za izvođenje radova: „Sanacija pomorskog dobra uz šetnicu Srebreno - Kupari“.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odobrenih projekata za izgradnju, sanaciju i rekonstrukciju objekata podgradnje namijenjenih za prihvat trajektnih, putničkih i ribarskih brodova u lukama otvorenim za javni promet od županijskog i lokalnog značaja (godišnja vrijednost)</w:t>
            </w:r>
          </w:p>
        </w:tc>
        <w:tc>
          <w:tcPr>
            <w:tcW w:w="2551" w:type="dxa"/>
          </w:tcPr>
          <w:p w:rsidR="00F244BA" w:rsidRDefault="00AC19E4">
            <w:pPr>
              <w:pStyle w:val="CellColumn"/>
              <w:jc w:val="left"/>
            </w:pPr>
            <w:r>
              <w:rPr>
                <w:rFonts w:cs="Times New Roman"/>
              </w:rPr>
              <w:t>Povećanje izgrađenosti infrastrukture radi osiguranja povezivanja i komunalnog veza za lokalno stanovništvo</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27</w:t>
            </w:r>
          </w:p>
        </w:tc>
        <w:tc>
          <w:tcPr>
            <w:tcW w:w="1020" w:type="dxa"/>
          </w:tcPr>
          <w:p w:rsidR="00F244BA" w:rsidRDefault="00AC19E4">
            <w:pPr>
              <w:pStyle w:val="CellColumn"/>
              <w:jc w:val="right"/>
            </w:pPr>
            <w:r>
              <w:rPr>
                <w:rFonts w:cs="Times New Roman"/>
              </w:rPr>
              <w:t>28</w:t>
            </w:r>
          </w:p>
        </w:tc>
      </w:tr>
      <w:tr w:rsidR="00F244BA">
        <w:trPr>
          <w:jc w:val="center"/>
        </w:trPr>
        <w:tc>
          <w:tcPr>
            <w:tcW w:w="2551" w:type="dxa"/>
          </w:tcPr>
          <w:p w:rsidR="00F244BA" w:rsidRDefault="00AC19E4">
            <w:pPr>
              <w:pStyle w:val="CellColumn"/>
              <w:jc w:val="left"/>
            </w:pPr>
            <w:r>
              <w:rPr>
                <w:rFonts w:cs="Times New Roman"/>
              </w:rPr>
              <w:t>Broj odobrenih projekata za sanaciju i rekonstrukciju pomorskog dobra u općoj upotrebi (godišnja vrijednost)</w:t>
            </w:r>
          </w:p>
        </w:tc>
        <w:tc>
          <w:tcPr>
            <w:tcW w:w="2551" w:type="dxa"/>
          </w:tcPr>
          <w:p w:rsidR="00F244BA" w:rsidRDefault="00AC19E4">
            <w:pPr>
              <w:pStyle w:val="CellColumn"/>
              <w:jc w:val="left"/>
            </w:pPr>
            <w:r>
              <w:rPr>
                <w:rFonts w:cs="Times New Roman"/>
              </w:rPr>
              <w:t>Povećanje uređenosti infrastrukture radi sigurnog korištenja pomorskog dobra kao jednog od temeljnih resursa RH</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37</w:t>
            </w:r>
          </w:p>
        </w:tc>
        <w:tc>
          <w:tcPr>
            <w:tcW w:w="1020" w:type="dxa"/>
          </w:tcPr>
          <w:p w:rsidR="00F244BA" w:rsidRDefault="00AC19E4">
            <w:pPr>
              <w:pStyle w:val="CellColumn"/>
              <w:jc w:val="right"/>
            </w:pPr>
            <w:r>
              <w:rPr>
                <w:rFonts w:cs="Times New Roman"/>
              </w:rPr>
              <w:t>47</w:t>
            </w:r>
          </w:p>
        </w:tc>
      </w:tr>
    </w:tbl>
    <w:p w:rsidR="00F244BA" w:rsidRDefault="00F244BA">
      <w:pPr>
        <w:jc w:val="left"/>
      </w:pPr>
    </w:p>
    <w:p w:rsidR="00F244BA" w:rsidRDefault="00AC19E4">
      <w:pPr>
        <w:pStyle w:val="Naslov4"/>
      </w:pPr>
      <w:r>
        <w:t>A570348 UTVRĐIVANJE I PROVEDBA GRANICA POMORSKOG DOBRA S IZVLAŠTENJEM</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lastRenderedPageBreak/>
              <w:t>A570348-UTVRĐIVANJE I PROVEDBA GRANICA POMORSKOG DOBRA S IZVLAŠTENJEM</w:t>
            </w:r>
          </w:p>
        </w:tc>
        <w:tc>
          <w:tcPr>
            <w:tcW w:w="2041" w:type="dxa"/>
          </w:tcPr>
          <w:p w:rsidR="00F244BA" w:rsidRDefault="00AC19E4">
            <w:pPr>
              <w:pStyle w:val="CellColumn"/>
              <w:jc w:val="right"/>
            </w:pPr>
            <w:r>
              <w:rPr>
                <w:rFonts w:cs="Times New Roman"/>
              </w:rPr>
              <w:t>399.341</w:t>
            </w:r>
          </w:p>
        </w:tc>
        <w:tc>
          <w:tcPr>
            <w:tcW w:w="2041" w:type="dxa"/>
          </w:tcPr>
          <w:p w:rsidR="00F244BA" w:rsidRDefault="00AC19E4">
            <w:pPr>
              <w:pStyle w:val="CellColumn"/>
              <w:jc w:val="right"/>
            </w:pPr>
            <w:r>
              <w:rPr>
                <w:rFonts w:cs="Times New Roman"/>
              </w:rPr>
              <w:t>873.060</w:t>
            </w:r>
          </w:p>
        </w:tc>
        <w:tc>
          <w:tcPr>
            <w:tcW w:w="2041" w:type="dxa"/>
          </w:tcPr>
          <w:p w:rsidR="00F244BA" w:rsidRDefault="00AC19E4">
            <w:pPr>
              <w:pStyle w:val="CellColumn"/>
              <w:jc w:val="right"/>
            </w:pPr>
            <w:r>
              <w:rPr>
                <w:rFonts w:cs="Times New Roman"/>
              </w:rPr>
              <w:t>825.884</w:t>
            </w:r>
          </w:p>
        </w:tc>
        <w:tc>
          <w:tcPr>
            <w:tcW w:w="1224" w:type="dxa"/>
          </w:tcPr>
          <w:p w:rsidR="00F244BA" w:rsidRDefault="00AC19E4">
            <w:pPr>
              <w:pStyle w:val="CellColumn"/>
              <w:jc w:val="right"/>
            </w:pPr>
            <w:r>
              <w:rPr>
                <w:rFonts w:cs="Times New Roman"/>
              </w:rPr>
              <w:t>94,6</w:t>
            </w:r>
          </w:p>
        </w:tc>
        <w:tc>
          <w:tcPr>
            <w:tcW w:w="1224" w:type="dxa"/>
          </w:tcPr>
          <w:p w:rsidR="00F244BA" w:rsidRDefault="00AC19E4">
            <w:pPr>
              <w:pStyle w:val="CellColumn"/>
              <w:jc w:val="right"/>
            </w:pPr>
            <w:r>
              <w:rPr>
                <w:rFonts w:cs="Times New Roman"/>
              </w:rPr>
              <w:t>206,8</w:t>
            </w:r>
          </w:p>
        </w:tc>
      </w:tr>
    </w:tbl>
    <w:p w:rsidR="00F244BA" w:rsidRDefault="00F244BA">
      <w:pPr>
        <w:jc w:val="left"/>
      </w:pPr>
    </w:p>
    <w:p w:rsidR="00F244BA" w:rsidRDefault="00AC19E4">
      <w:pPr>
        <w:pStyle w:val="Naslov8"/>
        <w:jc w:val="left"/>
      </w:pPr>
      <w:r>
        <w:t>Zakonske i druge pravne osnove</w:t>
      </w:r>
    </w:p>
    <w:p w:rsidR="00F244BA" w:rsidRDefault="00AC19E4">
      <w:r>
        <w:t>- Zakon o pomorskom dobru i morskim lukama,  članak 20. stavak 1., članak 27.</w:t>
      </w:r>
    </w:p>
    <w:p w:rsidR="00F244BA" w:rsidRDefault="00AC19E4">
      <w:pPr>
        <w:pStyle w:val="Naslov8"/>
        <w:jc w:val="left"/>
      </w:pPr>
      <w:r>
        <w:t>Opis aktivnosti</w:t>
      </w:r>
    </w:p>
    <w:p w:rsidR="00F244BA" w:rsidRDefault="00AC19E4">
      <w:r>
        <w:t xml:space="preserve">Ova aktivnost provodi se svake godine.   </w:t>
      </w:r>
    </w:p>
    <w:p w:rsidR="00F244BA" w:rsidRDefault="00AC19E4">
      <w:r>
        <w:t xml:space="preserve">Za provedbu određenog pomorskog dobra u katastru i zemljišnim knjigama, nužno je prethodno izraditi prijedlog granice pomorskog dobra (uključujući i granice lučkog područja) od strane nadležnog tijela županije, zatim donijeti Rješenje o određenoj granici pomorskog dobra (lučkog područja) od strane Ministarstva mora, prometa i infrastrukture, te izraditi geodetski elaborat za evidentiranje određenog pomorskog dobra.      </w:t>
      </w:r>
    </w:p>
    <w:p w:rsidR="00F244BA" w:rsidRDefault="00AC19E4">
      <w:r>
        <w:t xml:space="preserve">Novost u Zakonu o pomorskom dobru i morskim lukama je da se geodetski elaborati izrađuju isključivo po službenoj dužnosti, odnosno na način da je isto pitanje u nadležnosti Upravnih odjela za poslove pomorstva u svih 7 priobalnih županija. Na takav način postiže se veća učinkovitost za planiranje, provođenje i praćenje radnji upisa određenog pomorskog dobra u službene katastarske i zemljišnoknjižne evidencije. </w:t>
      </w:r>
    </w:p>
    <w:p w:rsidR="00F244BA" w:rsidRDefault="00AC19E4">
      <w:r>
        <w:t xml:space="preserve">Ministarstvo aktivno sudjeluje u sufinanciranju troškova izrade prijedloga granica pomorskog dobra i lučkog područja luka posebne namjene kao i geodetskih elaborata kao pomoć županijama u provedbi istih postupaka te za tu svrhu osigurava sredstva u Državnom proračunu Republike Hrvatske svake godine. Korisnici navedenih sredstava su sedam županija u čijoj nadležnosti se nalazi pomorsko dobro. Ministarstvo svake godine šalje Javni poziv za dodjelu projektnih prijedloga. Od ukupno osiguranog iznosa od 100.000 € utrošeno je ukupno 82.550 €. U 2024. godini  sredstva su dodijeljena kako slijedi:  </w:t>
      </w:r>
    </w:p>
    <w:p w:rsidR="00F244BA" w:rsidRDefault="00AC19E4">
      <w:r>
        <w:t>1.</w:t>
      </w:r>
      <w:r>
        <w:tab/>
        <w:t xml:space="preserve">Istarskoj županiji iznos od 17.550 €,  </w:t>
      </w:r>
    </w:p>
    <w:p w:rsidR="00F244BA" w:rsidRDefault="00AC19E4">
      <w:r>
        <w:t>2.</w:t>
      </w:r>
      <w:r>
        <w:tab/>
        <w:t xml:space="preserve">Primorsko-goranskoj županiji iznos od 20.000 €, </w:t>
      </w:r>
    </w:p>
    <w:p w:rsidR="00F244BA" w:rsidRDefault="00AC19E4">
      <w:r>
        <w:t>3.</w:t>
      </w:r>
      <w:r>
        <w:tab/>
        <w:t xml:space="preserve">Ličko-senjskoj županiji iznos od 10.000 €, </w:t>
      </w:r>
    </w:p>
    <w:p w:rsidR="00F244BA" w:rsidRDefault="00AC19E4">
      <w:r>
        <w:t>4.</w:t>
      </w:r>
      <w:r>
        <w:tab/>
        <w:t xml:space="preserve">Šibensko-kninskoj županiji iznos od 35.000 €. </w:t>
      </w:r>
    </w:p>
    <w:p w:rsidR="00F244BA" w:rsidRDefault="00AC19E4">
      <w:r>
        <w:t xml:space="preserve">Dio sredstava odnosi se i na troškove sudskih postupaka, sudskih vještačenja te izvlaštenja, na traženje državnih odvjetništava kao zakonskog zastupnika Republike Hrvatske, obzirom da je pomorsko dobro od interesa za Republiku Hrvatsku, a sve u svrhu evidencije, odnosno upisa pomorskog dobra u zemljišnima knjigama, čime se doprinosi boljoj i učinkovitijoj zaštiti pomorskog dobra, kao i omogućuje njegova gospodarska valorizacija.     </w:t>
      </w:r>
    </w:p>
    <w:p w:rsidR="00F244BA" w:rsidRDefault="00AC19E4">
      <w:r>
        <w:t xml:space="preserve">Danas postoji 520 Uredbi Vlade Republike Hrvatske i više od 910 rješenja Ministarstva, a kojima je određeno približno 1900 kilometara granica pomorskog dobra od ukupno 6278 kilometara obalne linije (podaci Hrvatskog hidrografskog instituta).    </w:t>
      </w:r>
    </w:p>
    <w:p w:rsidR="00F244BA" w:rsidRDefault="00AC19E4">
      <w:r>
        <w:t xml:space="preserve">U odnosu na određene granice pomorskog dobra, trenutno u Ministarstvu postoji velika količina podataka, koje treba sistematizirati i oblikovati u Jedinstvenu nacionalnu bazu podataka pomorskog dobra Republike Hrvatske, a za potrebe raspolaganja istima.      </w:t>
      </w:r>
    </w:p>
    <w:p w:rsidR="00F244BA" w:rsidRDefault="00AC19E4">
      <w:r>
        <w:t xml:space="preserve">U 2018. godini nabavljen je Informacijski sustav upravljanja pomorskim dobrom i morskim lukama, (sada: Jedinstvena nacionalna baza podataka pomorskog dobra Republike Hrvatske) te se njegova prilagodba, održavanje i unos podataka kontinuirano provodilo u 2024. godini, a isto je planirano i u daljnjem vremenskog periodu, tj. u 2025. godini, a koji pored granica pomorskog dobra i granica lučkih područja, sadrži podatke o koncesijama na pomorskom dobru kao i poveznicu s registrom luka.   </w:t>
      </w:r>
    </w:p>
    <w:p w:rsidR="00F244BA" w:rsidRDefault="00AC19E4">
      <w:r>
        <w:t>U 2024. godini napravljena je i nadogradnja Jedinstvene nacionalne baze podataka pomorskog dobra Republike Hrvatske čime je unaprijeđen sustav Upisnika koncesija na pomorskom dobru kao i modul za granice pomorskog dobra i lučka područja. Za navedenu namjenu utrošeno je 276.000 €.</w:t>
      </w:r>
    </w:p>
    <w:p w:rsidR="00F244BA" w:rsidRDefault="00AC19E4">
      <w:pPr>
        <w:pStyle w:val="Naslov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Povećanje broja sufinanciranih podloga i elaborata čiji je krajnji cilj utvrđivanje i provedba granicama utvrđenog pomorskog dobra</w:t>
            </w:r>
          </w:p>
        </w:tc>
        <w:tc>
          <w:tcPr>
            <w:tcW w:w="2551" w:type="dxa"/>
          </w:tcPr>
          <w:p w:rsidR="00F244BA" w:rsidRDefault="00AC19E4">
            <w:pPr>
              <w:pStyle w:val="CellColumn"/>
              <w:jc w:val="left"/>
            </w:pPr>
            <w:r>
              <w:rPr>
                <w:rFonts w:cs="Times New Roman"/>
              </w:rPr>
              <w:t>Povećanjem broja izrađenih geodetskih elaborata i podloga u svrhu utvrđivanja granica pomorskog dobra i lučkih područja luka posebne namjene osigurava se utvrđivanje granica pomorskog dobra i upis pomorskog dobra kao takvog u zemljišnim knjigama, a što je preduvjet za koncesioniranje pomorskog dobra i ostvarivanje prihoda državnog proračuna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30</w:t>
            </w:r>
          </w:p>
        </w:tc>
        <w:tc>
          <w:tcPr>
            <w:tcW w:w="1020" w:type="dxa"/>
          </w:tcPr>
          <w:p w:rsidR="00F244BA" w:rsidRDefault="00AC19E4">
            <w:pPr>
              <w:pStyle w:val="CellColumn"/>
              <w:jc w:val="right"/>
            </w:pPr>
            <w:r>
              <w:rPr>
                <w:rFonts w:cs="Times New Roman"/>
              </w:rPr>
              <w:t>37</w:t>
            </w:r>
          </w:p>
        </w:tc>
      </w:tr>
    </w:tbl>
    <w:p w:rsidR="00F244BA" w:rsidRDefault="00F244BA">
      <w:pPr>
        <w:jc w:val="left"/>
      </w:pPr>
    </w:p>
    <w:p w:rsidR="00F244BA" w:rsidRDefault="00AC19E4">
      <w:pPr>
        <w:pStyle w:val="Naslov4"/>
      </w:pPr>
      <w:r>
        <w:t>A570350 DODJELA KONCESIJA NA POMORSKOM DOBRU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A570350-DODJELA KONCESIJA NA POMORSKOM DOBRU</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23.750</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pomorskom dobru i morskim lukama, članak 52, stavak 2.   </w:t>
      </w:r>
    </w:p>
    <w:p w:rsidR="00F244BA" w:rsidRDefault="00AC19E4">
      <w:r>
        <w:t xml:space="preserve">- Zakon o izvlaštenju i određivanju naknade, članak 57., stavak 1.   </w:t>
      </w:r>
    </w:p>
    <w:p w:rsidR="00F244BA" w:rsidRDefault="00AC19E4">
      <w:r>
        <w:t>- Zakon o koncesijama, članak 18., stavak 1.</w:t>
      </w:r>
    </w:p>
    <w:p w:rsidR="00F244BA" w:rsidRDefault="00AC19E4">
      <w:pPr>
        <w:pStyle w:val="Naslov8"/>
        <w:jc w:val="left"/>
      </w:pPr>
      <w:r>
        <w:t>Opis aktivnosti</w:t>
      </w:r>
    </w:p>
    <w:p w:rsidR="00F244BA" w:rsidRDefault="00AC19E4">
      <w:r>
        <w:t xml:space="preserve">Postojeći model davanja koncesija nije u dovoljnoj mjeri usklađen s današnjim zahtjevima za korištenje pomorskog dobra te postoji potreba za izradom nove metodologije kojom bi se unaprijedio postupak dodjele koncesija na pomorskom dobru. Novom metodologijom potrebno je na jasan i cjelovit način definirati početne iznose koncesijske naknade kod raspisa javnog prikupljanja ponuda i utvrditi kriterije za davanje koncesije za sve vrste koncesija na pomorskom dobru, uvažavajući određene ciljeve i načela. Temeljem navedenog, Ministarstvo mora, prometa i infrastrukture planira izraditi „Studiju zoniranja pomorskog dobra“. </w:t>
      </w:r>
    </w:p>
    <w:p w:rsidR="00F244BA" w:rsidRDefault="00AC19E4">
      <w:r>
        <w:t xml:space="preserve">Sam proces usklađivanja postojećeg modela s aktualnim potrebama i izazovima zahtijeva temeljitu analizu i stručnu pripremu, što uključuje složenost procjene svih relevantnih čimbenika. Zbog obima i važnosti studije zoniranja pomorskog dobra, potrebno je osigurati odgovarajuće resurse, stručnost i vrijeme za njezinu kvalitetnu izradu. Uzimajući u obzir da se radi o dugoročnom projektu koji uključuje višegodišnje planiranje i implementaciju, sam proces izrade metodologije iziskuju temeljit pristup. Izrada nove metodologije zahtijeva usklađivanje sa svim relevantnim zakonodavnim i operativnim okvirom, što je dodatno produžilo dinamiku, te Studija nije izrađena. </w:t>
      </w:r>
    </w:p>
    <w:p w:rsidR="00F244BA" w:rsidRDefault="00AC19E4">
      <w:r>
        <w:t>Fokus u narednom razdoblju bit će usmjeren na pronalaženje održivih rješenja kako bi se omogućila provedba planiranih aktivnosti na najbolji mogući način.</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Izrada „Studije zoniranja pomorskog dobra</w:t>
            </w:r>
          </w:p>
        </w:tc>
        <w:tc>
          <w:tcPr>
            <w:tcW w:w="2551" w:type="dxa"/>
          </w:tcPr>
          <w:p w:rsidR="00F244BA" w:rsidRDefault="00AC19E4">
            <w:pPr>
              <w:pStyle w:val="CellColumn"/>
              <w:jc w:val="left"/>
            </w:pPr>
            <w:r>
              <w:rPr>
                <w:rFonts w:cs="Times New Roman"/>
              </w:rPr>
              <w:t>Postizanje više naknade za koncesiju na područjima koja su gospodarski atraktivnija i infrastrukturno opremljenija, te poticanje ulaganja u gospodarski manje atraktivna područja, kao i infrastrukturno slabije opremljena kroz nižu naknadu za koncesiju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0,5</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4"/>
      </w:pPr>
      <w:r>
        <w:t>A570482 STIPENDIRANJE REDOVITIH UČENIKA I STUDENATA SREDNJIH POMORSKIH ŠKOLA I POMORSKIH FAKULTETA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A570482-STIPENDIRANJE REDOVITIH UČENIKA I STUDENATA SREDNJIH POMORSKIH ŠKOLA I POMORSKIH FAKULTETA</w:t>
            </w:r>
          </w:p>
        </w:tc>
        <w:tc>
          <w:tcPr>
            <w:tcW w:w="2041" w:type="dxa"/>
          </w:tcPr>
          <w:p w:rsidR="00F244BA" w:rsidRDefault="00AC19E4">
            <w:pPr>
              <w:pStyle w:val="CellColumn"/>
              <w:jc w:val="right"/>
            </w:pPr>
            <w:r>
              <w:rPr>
                <w:rFonts w:cs="Times New Roman"/>
              </w:rPr>
              <w:t>243.297</w:t>
            </w:r>
          </w:p>
        </w:tc>
        <w:tc>
          <w:tcPr>
            <w:tcW w:w="2041" w:type="dxa"/>
          </w:tcPr>
          <w:p w:rsidR="00F244BA" w:rsidRDefault="00AC19E4">
            <w:pPr>
              <w:pStyle w:val="CellColumn"/>
              <w:jc w:val="right"/>
            </w:pPr>
            <w:r>
              <w:rPr>
                <w:rFonts w:cs="Times New Roman"/>
              </w:rPr>
              <w:t>355.384</w:t>
            </w:r>
          </w:p>
        </w:tc>
        <w:tc>
          <w:tcPr>
            <w:tcW w:w="2041" w:type="dxa"/>
          </w:tcPr>
          <w:p w:rsidR="00F244BA" w:rsidRDefault="00AC19E4">
            <w:pPr>
              <w:pStyle w:val="CellColumn"/>
              <w:jc w:val="right"/>
            </w:pPr>
            <w:r>
              <w:rPr>
                <w:rFonts w:cs="Times New Roman"/>
              </w:rPr>
              <w:t>245.849</w:t>
            </w:r>
          </w:p>
        </w:tc>
        <w:tc>
          <w:tcPr>
            <w:tcW w:w="1224" w:type="dxa"/>
          </w:tcPr>
          <w:p w:rsidR="00F244BA" w:rsidRDefault="00AC19E4">
            <w:pPr>
              <w:pStyle w:val="CellColumn"/>
              <w:jc w:val="right"/>
            </w:pPr>
            <w:r>
              <w:rPr>
                <w:rFonts w:cs="Times New Roman"/>
              </w:rPr>
              <w:t>69,2</w:t>
            </w:r>
          </w:p>
        </w:tc>
        <w:tc>
          <w:tcPr>
            <w:tcW w:w="1224" w:type="dxa"/>
          </w:tcPr>
          <w:p w:rsidR="00F244BA" w:rsidRDefault="00AC19E4">
            <w:pPr>
              <w:pStyle w:val="CellColumn"/>
              <w:jc w:val="right"/>
            </w:pPr>
            <w:r>
              <w:rPr>
                <w:rFonts w:cs="Times New Roman"/>
              </w:rPr>
              <w:t>101,0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sustavu državne uprave, članak 17.   </w:t>
      </w:r>
    </w:p>
    <w:p w:rsidR="00F244BA" w:rsidRDefault="00AC19E4">
      <w:r>
        <w:t xml:space="preserve">- ODLUKA ministra mora, prometa i infrastrukture - o uvjetima za dodjelu stipendija redovitim studentima preddiplomskog sveučilišnog studija nautičkog i brodostrojarskog smjera, kao i učenicima koji pohađaju srednjoškolsko obrazovanje nautičkog, brodostrojarskog i ribarsko - nautičkog smjera u akademskoj, odnosno školskoj godini  </w:t>
      </w:r>
    </w:p>
    <w:p w:rsidR="00F244BA" w:rsidRDefault="00AC19E4">
      <w:r>
        <w:t xml:space="preserve">- UGOVOR o dodjeli stipendije  </w:t>
      </w:r>
    </w:p>
    <w:p w:rsidR="00F244BA" w:rsidRDefault="00AC19E4">
      <w:r>
        <w:t>- Program stipendiranja redovitih studenata preddiplomskog sveučilišnog studija nautičkog i brodostrojarskog smjera i učenika koji pohađaju srednjoškolsko obrazovanje nautičkog i brodostrojarskog smjera temelji se na Zaključku Vlade Republike Hrvatske od 23. veljače 2006. godine.</w:t>
      </w:r>
    </w:p>
    <w:p w:rsidR="00F244BA" w:rsidRDefault="00AC19E4">
      <w:pPr>
        <w:pStyle w:val="Naslov8"/>
        <w:jc w:val="left"/>
      </w:pPr>
      <w:r>
        <w:t>Opis aktivnosti</w:t>
      </w:r>
    </w:p>
    <w:p w:rsidR="00F244BA" w:rsidRDefault="00AC19E4">
      <w:r>
        <w:t xml:space="preserve">Proračunska sredstva u 2024. godini utrošena su za stipendiranje redovitih učenika i studenata srednjih pomorskih škola i pomorskih fakulteta, temeljem sklopljenih Ugovora o stipendiranju po pojedinom studentu/učeniku, a na osnovu ranije donesenih Rješenja ministra mora, prometa i infrastrukture o dodjeli stipendija za ukupno 175 stipendista (2020. godine – 21 učenik; 2021. godine - 29 učenika i 6 studenata; 2022. godine 46 učenika i 5 studenata; 2023. godine 55 učenika i 12 studenata i jedna studentica vojnog pomorstva).  Stipendiranje redovitih studenata s 159,27 € i učenika s 106,18 € mjesečno, projekt je kojeg Ministarstvo mora, prometa i infrastrukture provodi još od 2006. godine, a u cilju zaustavljanja trenda pada upisa u pomorske škole i fakultete.  </w:t>
      </w:r>
    </w:p>
    <w:p w:rsidR="00F244BA" w:rsidRDefault="00AC19E4">
      <w:r>
        <w:t xml:space="preserve">Nakon provedenog Natječaja za dodjelu stipendija učenicima i studentima srednjih pomorskih škola i fakulteta u školskoj, odnosno akademskoj godini 2024./2025., dodijeljeno je 68 stipendija, od toga 60 učeničkih i 8 studentskih. Poticanjem školovanja i specijalističke naobrazbe, vidljivo je da se poboljšava kvaliteta osposobljenih pomoraca na pomorskim školama i fakultetima.   </w:t>
      </w:r>
    </w:p>
    <w:p w:rsidR="00F244BA" w:rsidRDefault="00AC19E4">
      <w:r>
        <w:t>U 2024. godini Program se nije proveo u potpunosti,  obzirom da ugovori sa učenicima i studentima koji su ostvarili pravo na stipendiju u školskoj, odnosno akademskoj godini 2024./2025. nisu potpisani u prosincu 2024. godine, nego u siječnju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dodijeljenih školarina i stipendija u oblasti pomorskog prometa</w:t>
            </w:r>
          </w:p>
        </w:tc>
        <w:tc>
          <w:tcPr>
            <w:tcW w:w="2551" w:type="dxa"/>
          </w:tcPr>
          <w:p w:rsidR="00F244BA" w:rsidRDefault="00AC19E4">
            <w:pPr>
              <w:pStyle w:val="CellColumn"/>
              <w:jc w:val="left"/>
            </w:pPr>
            <w:r>
              <w:rPr>
                <w:rFonts w:cs="Times New Roman"/>
              </w:rPr>
              <w:t>Edukacijom stručnog kadra postiže se kvalitetnija usluga u pomorskom prometu (godišnja vrijednost)</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178</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178</w:t>
            </w:r>
          </w:p>
        </w:tc>
        <w:tc>
          <w:tcPr>
            <w:tcW w:w="1020" w:type="dxa"/>
          </w:tcPr>
          <w:p w:rsidR="00F244BA" w:rsidRDefault="00AC19E4">
            <w:pPr>
              <w:pStyle w:val="CellColumn"/>
              <w:jc w:val="right"/>
            </w:pPr>
            <w:r>
              <w:rPr>
                <w:rFonts w:cs="Times New Roman"/>
              </w:rPr>
              <w:t>175</w:t>
            </w:r>
          </w:p>
        </w:tc>
      </w:tr>
    </w:tbl>
    <w:p w:rsidR="00F244BA" w:rsidRDefault="00F244BA">
      <w:pPr>
        <w:jc w:val="left"/>
      </w:pPr>
    </w:p>
    <w:p w:rsidR="00F244BA" w:rsidRDefault="00AC19E4">
      <w:pPr>
        <w:pStyle w:val="Naslov4"/>
      </w:pPr>
      <w:r>
        <w:t>A754030 ČLANARINE U MEĐUNARODNIM ORGANIZACIJAMA U POMORSTVU</w:t>
      </w:r>
    </w:p>
    <w:tbl>
      <w:tblPr>
        <w:tblStyle w:val="StilTablice"/>
        <w:tblW w:w="10206" w:type="dxa"/>
        <w:jc w:val="center"/>
        <w:tblLook w:val="04A0" w:firstRow="1" w:lastRow="0" w:firstColumn="1" w:lastColumn="0" w:noHBand="0" w:noVBand="1"/>
      </w:tblPr>
      <w:tblGrid>
        <w:gridCol w:w="1904"/>
        <w:gridCol w:w="1964"/>
        <w:gridCol w:w="1953"/>
        <w:gridCol w:w="1964"/>
        <w:gridCol w:w="1207"/>
        <w:gridCol w:w="121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A754030-ČLANARINE U MEĐUNARODNIM ORGANIZACIJAMA U POMORSTVU</w:t>
            </w:r>
          </w:p>
        </w:tc>
        <w:tc>
          <w:tcPr>
            <w:tcW w:w="2041" w:type="dxa"/>
          </w:tcPr>
          <w:p w:rsidR="00F244BA" w:rsidRDefault="00AC19E4">
            <w:pPr>
              <w:pStyle w:val="CellColumn"/>
              <w:jc w:val="right"/>
            </w:pPr>
            <w:r>
              <w:rPr>
                <w:rFonts w:cs="Times New Roman"/>
              </w:rPr>
              <w:t>49.190</w:t>
            </w:r>
          </w:p>
        </w:tc>
        <w:tc>
          <w:tcPr>
            <w:tcW w:w="2041" w:type="dxa"/>
          </w:tcPr>
          <w:p w:rsidR="00F244BA" w:rsidRDefault="00AC19E4">
            <w:pPr>
              <w:pStyle w:val="CellColumn"/>
              <w:jc w:val="right"/>
            </w:pPr>
            <w:r>
              <w:rPr>
                <w:rFonts w:cs="Times New Roman"/>
              </w:rPr>
              <w:t>63.043</w:t>
            </w:r>
          </w:p>
        </w:tc>
        <w:tc>
          <w:tcPr>
            <w:tcW w:w="2041" w:type="dxa"/>
          </w:tcPr>
          <w:p w:rsidR="00F244BA" w:rsidRDefault="00AC19E4">
            <w:pPr>
              <w:pStyle w:val="CellColumn"/>
              <w:jc w:val="right"/>
            </w:pPr>
            <w:r>
              <w:rPr>
                <w:rFonts w:cs="Times New Roman"/>
              </w:rPr>
              <w:t>52.415</w:t>
            </w:r>
          </w:p>
        </w:tc>
        <w:tc>
          <w:tcPr>
            <w:tcW w:w="1224" w:type="dxa"/>
          </w:tcPr>
          <w:p w:rsidR="00F244BA" w:rsidRDefault="00AC19E4">
            <w:pPr>
              <w:pStyle w:val="CellColumn"/>
              <w:jc w:val="right"/>
            </w:pPr>
            <w:r>
              <w:rPr>
                <w:rFonts w:cs="Times New Roman"/>
              </w:rPr>
              <w:t>83,1</w:t>
            </w:r>
          </w:p>
        </w:tc>
        <w:tc>
          <w:tcPr>
            <w:tcW w:w="1224" w:type="dxa"/>
          </w:tcPr>
          <w:p w:rsidR="00F244BA" w:rsidRDefault="00AC19E4">
            <w:pPr>
              <w:pStyle w:val="CellColumn"/>
              <w:jc w:val="right"/>
            </w:pPr>
            <w:r>
              <w:rPr>
                <w:rFonts w:cs="Times New Roman"/>
              </w:rPr>
              <w:t>106,6</w:t>
            </w:r>
          </w:p>
        </w:tc>
      </w:tr>
    </w:tbl>
    <w:p w:rsidR="00F244BA" w:rsidRDefault="00F244BA">
      <w:pPr>
        <w:jc w:val="left"/>
      </w:pPr>
    </w:p>
    <w:p w:rsidR="00F244BA" w:rsidRDefault="00AC19E4">
      <w:pPr>
        <w:pStyle w:val="Naslov8"/>
        <w:jc w:val="left"/>
      </w:pPr>
      <w:r>
        <w:t>Zakonske i druge pravne osnove</w:t>
      </w:r>
    </w:p>
    <w:p w:rsidR="00F244BA" w:rsidRDefault="00AC19E4">
      <w:r>
        <w:t xml:space="preserve">1. Međunarodna pomorska organizacija (IMO), London, Velika Britanija   </w:t>
      </w:r>
    </w:p>
    <w:p w:rsidR="00F244BA" w:rsidRDefault="00AC19E4">
      <w:r>
        <w:t xml:space="preserve"> Odlukom o objavljivanju mnogostranih međunarodnih ugovora kojih je Republika Hrvatska stranka, na temelju pristupa (akcesije) (Narodne novine, broj 6/1994, od 6. lipnja 1994. godine) postali smo stranka Konvencije o osnivanju Međuvladine pomorske savjetodavne organizacije (IMCO) (Ženeva, 6. ožujka 1948.).  </w:t>
      </w:r>
    </w:p>
    <w:p w:rsidR="00F244BA" w:rsidRDefault="00AC19E4">
      <w:r>
        <w:t xml:space="preserve">IMCO je izmjenama i dopunama promijenio ime u Međunarodnu pomorsku organizaciju (IMO) kako se i danas zove. Člankom 60. (prije članak 41.) navedene Konvencije određeno je da Skupština odobrava prijedlog proračuna te da raspodjeljuje troškove (doprinos) među državama članicama u skladu sa mjerilima koja utvrdi po razmatranju prijedloga Vijeća.    </w:t>
      </w:r>
    </w:p>
    <w:p w:rsidR="00F244BA" w:rsidRDefault="00AC19E4">
      <w:r>
        <w:t xml:space="preserve">2. Međunarodna vlast za morsko dno (ISA), Kingston,  Jamajka   </w:t>
      </w:r>
    </w:p>
    <w:p w:rsidR="00F244BA" w:rsidRDefault="00AC19E4">
      <w:r>
        <w:t>Konvencija Ujedinjenih naroda o pravu mora (UNCLOS) objavljena je u Narodnim novinama- Međunarodni ugovori br. 9/2000. Člankom 156. UNCLOS Konvencije kojim je ustanovljena Međunarodna vlast za morsko dno (ISA) izričito je propisano da su sve države stranke ipso facto članice Vlasti. Člankom  171. UNCLOS Konvencije određeno je da financijska sredstva Vlasti obuhvaćaju, između ostalog, doprinose članova Vlasti određene u skladu sa stavkom 2.(e), članka 160. kojim je određeno da Skupština određuje visine doprinosa članova za upravni proračun Vlasti u skladu s usvojenom skalom razreza, zasnovanoj na skali koja se koristi za redovni proračun Ujedinjenih naroda, dok Vlast ne bude raspolagala s dovoljno prihoda iz drugih izvora za podmirenje upravnih troškova. Republika Hrvatska odgovarajuću notifikaciju o sukcesiji položila je kod glavnog tajnika Ujedinjenih naroda 5. travnja 1995. godine.</w:t>
      </w:r>
    </w:p>
    <w:p w:rsidR="00F244BA" w:rsidRDefault="00AC19E4">
      <w:pPr>
        <w:pStyle w:val="Naslov8"/>
        <w:jc w:val="left"/>
      </w:pPr>
      <w:r>
        <w:t>Opis aktivnosti</w:t>
      </w:r>
    </w:p>
    <w:p w:rsidR="00F244BA" w:rsidRDefault="00AC19E4">
      <w:r>
        <w:t xml:space="preserve">Međunarodna pomorska organizacija (IMO), London je specijalizirana ustanova Ujedinjenih naroda osnovana 1948. godine s ciljem suradnje između vlada država članica na području pomorstva te je nadležna za razvoj međunarodnih instrumenata vezano za pomorsku sigurnost, sigurnosnu zaštitu i sprječavanje onečišćenja s brodova. Republika Hrvatska je članica od 8. srpnja 1992. godine kada je na temelju pristupa (akcesije) postala stranka Konvencije o osnivanju Međuvladine pomorske savjetodavne organizacije (IMCO) iz 1948. godine, koja je kasnijim izmjenama preimenovana u Konvenciju o Međunarodnoj pomorskoj organizaciji (IMO). Članarina se plaća temeljem izračuna za svaku državu članicu, kojeg verbalnom notom dostavlja glavni tajnik IMO-a unaprijed za svaku godinu, zajedno sa svim podacima za uplatu, a plativa je u roku od 30 dana od dostave tj. prvog dana kalendarske godine na koju se odnosi. </w:t>
      </w:r>
    </w:p>
    <w:p w:rsidR="00F244BA" w:rsidRDefault="00AC19E4">
      <w:r>
        <w:t xml:space="preserve">Temeljem Izvješća o stanju financija za Republiku Hrvatsku i priloženog Računa dostavljenih od strane Međunarodne pomorske organizacije (IMO) u siječnju 2024. godine, a što je vezano za trošak godišnjeg članstva Republike Hrvatske u Međunarodnoj pomorskoj organizaciji za 2024. godinu u ukupnom iznosu od 36.599 GBP odnosno 42.419,85 €,  plaćen je Račun za navedeni iznos dana 15. siječnja 2024. godine. </w:t>
      </w:r>
    </w:p>
    <w:p w:rsidR="00F244BA" w:rsidRDefault="00AC19E4">
      <w:r>
        <w:t xml:space="preserve">Međunarodna vlast za morsko dno (ISA), Kingston, Jamajka je organizacija preko koje države stranke organiziraju i nadziru djelatnosti u Zoni, posebno radi upravljanja bogatstvima Zone (obuhvaća dno mora i oceana i njihovo podzemlje izvan granica nacionalne jurisdikcije). Članarina se plaća temeljem izračuna za svaku državu članicu kojeg Stalnom predstavništvu Republike Hrvatske u Ujedinjenim narodima dostavlja glavni tajnik ISA-e unaprijed za svaku godinu, zajedno sa svim podacima za uplatu. </w:t>
      </w:r>
    </w:p>
    <w:p w:rsidR="00F244BA" w:rsidRDefault="00AC19E4">
      <w:r>
        <w:t>Slijedom dostavljene Informacije o pozivu na uplatu doprinosa Republike Hrvatske za Međunarodnu vlast za morsko dno i priloženog Računa za plaćanje  godišnje članarine za 2024. godinu, isplaćena su sredstava u iznosu od 10.836,79 USD, odnosno 9.995,19 € u korist Međunarodne vlasti za morsko dno.</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sjednica IMO-a na kojima su sudjelovali predstavnici RH</w:t>
            </w:r>
          </w:p>
        </w:tc>
        <w:tc>
          <w:tcPr>
            <w:tcW w:w="2551" w:type="dxa"/>
          </w:tcPr>
          <w:p w:rsidR="00F244BA" w:rsidRDefault="00AC19E4">
            <w:pPr>
              <w:pStyle w:val="CellColumn"/>
              <w:jc w:val="left"/>
            </w:pPr>
            <w:r>
              <w:rPr>
                <w:rFonts w:cs="Times New Roman"/>
              </w:rPr>
              <w:t xml:space="preserve">Sudjelovanjem na sjednicama postiže se zastupljenost RH u radu Odbora i Pododbora IMO-a, uključujući i sudjelovanje u donošenju odluka i procesu izrade nacrta međunarodnih instrumenata   </w:t>
            </w:r>
          </w:p>
          <w:p w:rsidR="00F244BA" w:rsidRDefault="00AC19E4">
            <w:pPr>
              <w:pStyle w:val="CellColumn"/>
              <w:jc w:val="left"/>
            </w:pPr>
            <w:r>
              <w:rPr>
                <w:rFonts w:cs="Times New Roman"/>
              </w:rPr>
              <w:t>(godišnja vrijednost)</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12</w:t>
            </w:r>
          </w:p>
        </w:tc>
        <w:tc>
          <w:tcPr>
            <w:tcW w:w="1020" w:type="dxa"/>
          </w:tcPr>
          <w:p w:rsidR="00F244BA" w:rsidRDefault="00AC19E4">
            <w:pPr>
              <w:pStyle w:val="CellColumn"/>
              <w:jc w:val="right"/>
            </w:pPr>
            <w:r>
              <w:rPr>
                <w:rFonts w:cs="Times New Roman"/>
              </w:rPr>
              <w:t>12</w:t>
            </w:r>
          </w:p>
        </w:tc>
      </w:tr>
    </w:tbl>
    <w:p w:rsidR="00F244BA" w:rsidRDefault="00F244BA">
      <w:pPr>
        <w:jc w:val="left"/>
      </w:pPr>
    </w:p>
    <w:p w:rsidR="00F244BA" w:rsidRDefault="00AC19E4">
      <w:pPr>
        <w:pStyle w:val="Naslov4"/>
      </w:pPr>
      <w:r>
        <w:t>A754037 SUFINANCIRANJE UKRCAJA VJEŽBENIKA NA BRODOVE U MEĐUNARODNOJ I NACIONALNOJ PLOVIDBI</w:t>
      </w:r>
    </w:p>
    <w:tbl>
      <w:tblPr>
        <w:tblStyle w:val="StilTablice"/>
        <w:tblW w:w="10206" w:type="dxa"/>
        <w:jc w:val="center"/>
        <w:tblLook w:val="04A0" w:firstRow="1" w:lastRow="0" w:firstColumn="1" w:lastColumn="0" w:noHBand="0" w:noVBand="1"/>
      </w:tblPr>
      <w:tblGrid>
        <w:gridCol w:w="1804"/>
        <w:gridCol w:w="1991"/>
        <w:gridCol w:w="1991"/>
        <w:gridCol w:w="1991"/>
        <w:gridCol w:w="1212"/>
        <w:gridCol w:w="1217"/>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A754037-SUFINANCIRANJE UKRCAJA VJEŽBENIKA NA BRODOVE U MEĐUNARODNOJ I NACIONALNOJ PLOVIDBI</w:t>
            </w:r>
          </w:p>
        </w:tc>
        <w:tc>
          <w:tcPr>
            <w:tcW w:w="2041" w:type="dxa"/>
          </w:tcPr>
          <w:p w:rsidR="00F244BA" w:rsidRDefault="00AC19E4">
            <w:pPr>
              <w:pStyle w:val="CellColumn"/>
              <w:jc w:val="right"/>
            </w:pPr>
            <w:r>
              <w:rPr>
                <w:rFonts w:cs="Times New Roman"/>
              </w:rPr>
              <w:t>1.063.016</w:t>
            </w:r>
          </w:p>
        </w:tc>
        <w:tc>
          <w:tcPr>
            <w:tcW w:w="2041" w:type="dxa"/>
          </w:tcPr>
          <w:p w:rsidR="00F244BA" w:rsidRDefault="00AC19E4">
            <w:pPr>
              <w:pStyle w:val="CellColumn"/>
              <w:jc w:val="right"/>
            </w:pPr>
            <w:r>
              <w:rPr>
                <w:rFonts w:cs="Times New Roman"/>
              </w:rPr>
              <w:t>1.061.782</w:t>
            </w:r>
          </w:p>
        </w:tc>
        <w:tc>
          <w:tcPr>
            <w:tcW w:w="2041" w:type="dxa"/>
          </w:tcPr>
          <w:p w:rsidR="00F244BA" w:rsidRDefault="00AC19E4">
            <w:pPr>
              <w:pStyle w:val="CellColumn"/>
              <w:jc w:val="right"/>
            </w:pPr>
            <w:r>
              <w:rPr>
                <w:rFonts w:cs="Times New Roman"/>
              </w:rPr>
              <w:t>1.061.782</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99,9</w:t>
            </w:r>
          </w:p>
        </w:tc>
      </w:tr>
    </w:tbl>
    <w:p w:rsidR="00F244BA" w:rsidRDefault="00F244BA">
      <w:pPr>
        <w:jc w:val="left"/>
      </w:pPr>
    </w:p>
    <w:p w:rsidR="00F244BA" w:rsidRDefault="00AC19E4">
      <w:pPr>
        <w:pStyle w:val="Naslov8"/>
        <w:jc w:val="left"/>
      </w:pPr>
      <w:r>
        <w:t>Zakonske i druge pravne osnove</w:t>
      </w:r>
    </w:p>
    <w:p w:rsidR="00F244BA" w:rsidRDefault="00AC19E4">
      <w:r>
        <w:t xml:space="preserve">- Program sufinanciranja ukrcaja vježbenika palube, stroja i elektrotehnike na brodove u međunarodnoj i nacionalnoj plovidbi za razdoblje od 2021. do 2024. godine, kojeg je Vlada Republike Hrvatske usvojila Odlukom od  11. studenog 2021. godine </w:t>
      </w:r>
    </w:p>
    <w:p w:rsidR="00F244BA" w:rsidRDefault="00AC19E4">
      <w:r>
        <w:t>- Odluka ministra mora, prometa i infrastrukture o raspodjeli proračunskih sredstava subvencije za sufinanciranje vježbeničkog staža pomoraca, točka II</w:t>
      </w:r>
    </w:p>
    <w:p w:rsidR="00F244BA" w:rsidRDefault="00AC19E4">
      <w:pPr>
        <w:pStyle w:val="Naslov8"/>
        <w:jc w:val="left"/>
      </w:pPr>
      <w:r>
        <w:t>Opis aktivnosti</w:t>
      </w:r>
    </w:p>
    <w:p w:rsidR="00F244BA" w:rsidRDefault="00AC19E4">
      <w:r>
        <w:t xml:space="preserve">Program sufinanciranja ukrcaja vježbenika palube, stroja i elektrotehnike na brodove u međunarodnoj i nacionalnoj plovidbi za razdoblje od 2021. do 2024. godine za cilj ima stvaranje motivirajućih uvjeta za izbor pomorskih zanimanja, pomoć hrvatskim pomorcima pri završetku obrazovnog procesa koji je preduvjet za stjecanje časničkih zvanja u pomorstvu, poticaj brodarima na ukrcaj hrvatskih vježbenika, smanjenje nezaposlenosti u Republici Hrvatskoj  i posljedično povećanje prihoda u državnom proračunu. </w:t>
      </w:r>
    </w:p>
    <w:p w:rsidR="00F244BA" w:rsidRDefault="00AC19E4">
      <w:r>
        <w:t xml:space="preserve">Uvjet za stjecanje časničkih zvanja, temeljem STCW Konvencije i Pravilnika o zvanjima i svjedodžbama o osposobljenosti pomoraca je 12 mjeseci plovidbene službe u svojstvu vježbenika palube, vježbenika stroja ili vježbenika elektrotehnike, prema definiranom programu, od čega najmanje 6 mjeseci mora biti na brodovima u međunarodnoj plovidbi, odnosno najviše 6 mjeseci u nacionalnoj plovidbi.    </w:t>
      </w:r>
    </w:p>
    <w:p w:rsidR="00F244BA" w:rsidRDefault="00AC19E4">
      <w:r>
        <w:t xml:space="preserve">Korisnici ove subvencije su brodari (hrvatski ili strani) koji ukrcavaju hrvatske vježbenike na brodove koji plove pod zastavama država članica europske unije, a samo iznimno i na brodove koji plove pod zastavama trećih država ako je isto opravdano objektivnim kriterijima, kao što je nedostatak slobodnih mjesta na brodovima država članica EU.  </w:t>
      </w:r>
    </w:p>
    <w:p w:rsidR="00F244BA" w:rsidRDefault="00AC19E4">
      <w:r>
        <w:t xml:space="preserve">Temeljem točke VI.a Programa i Poziva brodarima za dostavu prijava za sufinanciranje ukrcaja vježbenika za 2024. godinu, nakon zaprimanja i obrade podataka donesene su i objavljene Privremena i Konačna lista izabranih brodara, a zatim i Odluka ministra o raspodjeli proračunskih sredstava. Njome je utvrđena raspodjela sredstava na 9 brodara - korisnika subvencije: Jadroplov d.d. Split, Golar Viking Management d.o.o. Split, Brodosplit–Plovidba d.o.o., Split, Jadrolinija d.d  Rijeka, Korkyra shipping d.o.o. Korčula, Alpha Adriatic d.d. Pula, Tankerska plovidba d.d. Zadar, Atlantska plovidba d.d. Dubrovnik, i PRONAV Schiffahrtsberatung GmbH &amp; Co. KG, Hamburg, Njemačka. Navedeni su u razdoblju od 01. studenog 2023. do 31. listopada 2024. godine zajedno ukrcali 273 vježbenika i ostvarili ukupni staž u trajanju od 33.726 dana. Subvencija je iznosila minimalno 17,26 € po ukrcanom vježbeniku dnevno za vježbenički staž na brodu u međunarodnoj, odnosno minimalno 8,63 € staž na brodu u nacionalnoj plovidbi. </w:t>
      </w:r>
    </w:p>
    <w:p w:rsidR="00F244BA" w:rsidRDefault="00AC19E4">
      <w:r>
        <w:t xml:space="preserve">Iz Državnog proračuna Republike Hrvatske za 2024. godinu isplaćena su sredstva korisnicima subvencije u ukupnom iznosu od 1.061.782 €.  Subvencionirao se vježbenički staž za 273 vježbenika - hrvatskih rezidenata koji su u razdoblju od 01.11.2023. do 31.10.2024. godine ukupno ostvarili 33.726 dana plovidbe. </w:t>
      </w:r>
    </w:p>
    <w:p w:rsidR="00F244BA" w:rsidRDefault="00AC19E4">
      <w:r>
        <w:t>Ostvarena vrijednost 2024. godine manja je od ciljane vrijednosti s obzirom na neizvjesno stanje na tržištu rada u pomorstvu koje za rezultat ima racionalizaciju troškova brodara.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vježbenika na brodu koji se subvencioniraju</w:t>
            </w:r>
          </w:p>
        </w:tc>
        <w:tc>
          <w:tcPr>
            <w:tcW w:w="2551" w:type="dxa"/>
          </w:tcPr>
          <w:p w:rsidR="00F244BA" w:rsidRDefault="00AC19E4">
            <w:pPr>
              <w:pStyle w:val="CellColumn"/>
              <w:jc w:val="left"/>
            </w:pPr>
            <w:r>
              <w:rPr>
                <w:rFonts w:cs="Times New Roman"/>
              </w:rPr>
              <w:t>Ukrcavanjem vježbenika na brodove povećava se struktura stručno osposobljenih pomoraca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300</w:t>
            </w:r>
          </w:p>
        </w:tc>
        <w:tc>
          <w:tcPr>
            <w:tcW w:w="1020" w:type="dxa"/>
          </w:tcPr>
          <w:p w:rsidR="00F244BA" w:rsidRDefault="00AC19E4">
            <w:pPr>
              <w:pStyle w:val="CellColumn"/>
              <w:jc w:val="right"/>
            </w:pPr>
            <w:r>
              <w:rPr>
                <w:rFonts w:cs="Times New Roman"/>
              </w:rPr>
              <w:t>273</w:t>
            </w:r>
          </w:p>
        </w:tc>
      </w:tr>
      <w:tr w:rsidR="00F244BA">
        <w:trPr>
          <w:jc w:val="center"/>
        </w:trPr>
        <w:tc>
          <w:tcPr>
            <w:tcW w:w="2551" w:type="dxa"/>
          </w:tcPr>
          <w:p w:rsidR="00F244BA" w:rsidRDefault="00AC19E4">
            <w:pPr>
              <w:pStyle w:val="CellColumn"/>
              <w:jc w:val="left"/>
            </w:pPr>
            <w:r>
              <w:rPr>
                <w:rFonts w:cs="Times New Roman"/>
              </w:rPr>
              <w:t>Broj dana koji su vježbenici proveli na brodu</w:t>
            </w:r>
          </w:p>
        </w:tc>
        <w:tc>
          <w:tcPr>
            <w:tcW w:w="2551" w:type="dxa"/>
          </w:tcPr>
          <w:p w:rsidR="00F244BA" w:rsidRDefault="00AC19E4">
            <w:pPr>
              <w:pStyle w:val="CellColumn"/>
              <w:jc w:val="left"/>
            </w:pPr>
            <w:r>
              <w:rPr>
                <w:rFonts w:cs="Times New Roman"/>
              </w:rPr>
              <w:t>Ukrcavanjem vježbenika na brodove povećava se struktura stručno osposobljenih pomoraca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35.000</w:t>
            </w:r>
          </w:p>
        </w:tc>
        <w:tc>
          <w:tcPr>
            <w:tcW w:w="1020" w:type="dxa"/>
          </w:tcPr>
          <w:p w:rsidR="00F244BA" w:rsidRDefault="00AC19E4">
            <w:pPr>
              <w:pStyle w:val="CellColumn"/>
              <w:jc w:val="right"/>
            </w:pPr>
            <w:r>
              <w:rPr>
                <w:rFonts w:cs="Times New Roman"/>
              </w:rPr>
              <w:t>33.726</w:t>
            </w:r>
          </w:p>
        </w:tc>
      </w:tr>
    </w:tbl>
    <w:p w:rsidR="00F244BA" w:rsidRDefault="00F244BA">
      <w:pPr>
        <w:jc w:val="left"/>
      </w:pPr>
    </w:p>
    <w:p w:rsidR="00F244BA" w:rsidRDefault="00AC19E4">
      <w:pPr>
        <w:pStyle w:val="Naslov4"/>
      </w:pPr>
      <w:r>
        <w:t>A754044 PROMIDŽBA POMORSTVA REPUBLIKE HRVATSKE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A754044-PROMIDŽBA POMORSTVA REPUBLIKE HRVATSKE</w:t>
            </w:r>
          </w:p>
        </w:tc>
        <w:tc>
          <w:tcPr>
            <w:tcW w:w="2041" w:type="dxa"/>
          </w:tcPr>
          <w:p w:rsidR="00F244BA" w:rsidRDefault="00AC19E4">
            <w:pPr>
              <w:pStyle w:val="CellColumn"/>
              <w:jc w:val="right"/>
            </w:pPr>
            <w:r>
              <w:rPr>
                <w:rFonts w:cs="Times New Roman"/>
              </w:rPr>
              <w:t>54.526</w:t>
            </w:r>
          </w:p>
        </w:tc>
        <w:tc>
          <w:tcPr>
            <w:tcW w:w="2041" w:type="dxa"/>
          </w:tcPr>
          <w:p w:rsidR="00F244BA" w:rsidRDefault="00AC19E4">
            <w:pPr>
              <w:pStyle w:val="CellColumn"/>
              <w:jc w:val="right"/>
            </w:pPr>
            <w:r>
              <w:rPr>
                <w:rFonts w:cs="Times New Roman"/>
              </w:rPr>
              <w:t>66.000</w:t>
            </w:r>
          </w:p>
        </w:tc>
        <w:tc>
          <w:tcPr>
            <w:tcW w:w="2041" w:type="dxa"/>
          </w:tcPr>
          <w:p w:rsidR="00F244BA" w:rsidRDefault="00AC19E4">
            <w:pPr>
              <w:pStyle w:val="CellColumn"/>
              <w:jc w:val="right"/>
            </w:pPr>
            <w:r>
              <w:rPr>
                <w:rFonts w:cs="Times New Roman"/>
              </w:rPr>
              <w:t>65.936</w:t>
            </w:r>
          </w:p>
        </w:tc>
        <w:tc>
          <w:tcPr>
            <w:tcW w:w="1224" w:type="dxa"/>
          </w:tcPr>
          <w:p w:rsidR="00F244BA" w:rsidRDefault="00AC19E4">
            <w:pPr>
              <w:pStyle w:val="CellColumn"/>
              <w:jc w:val="right"/>
            </w:pPr>
            <w:r>
              <w:rPr>
                <w:rFonts w:cs="Times New Roman"/>
              </w:rPr>
              <w:t>99,9</w:t>
            </w:r>
          </w:p>
        </w:tc>
        <w:tc>
          <w:tcPr>
            <w:tcW w:w="1224" w:type="dxa"/>
          </w:tcPr>
          <w:p w:rsidR="00F244BA" w:rsidRDefault="00AC19E4">
            <w:pPr>
              <w:pStyle w:val="CellColumn"/>
              <w:jc w:val="right"/>
            </w:pPr>
            <w:r>
              <w:rPr>
                <w:rFonts w:cs="Times New Roman"/>
              </w:rPr>
              <w:t>120,9</w:t>
            </w:r>
          </w:p>
        </w:tc>
      </w:tr>
    </w:tbl>
    <w:p w:rsidR="00F244BA" w:rsidRDefault="00F244BA">
      <w:pPr>
        <w:jc w:val="left"/>
      </w:pPr>
    </w:p>
    <w:p w:rsidR="00F244BA" w:rsidRDefault="00AC19E4">
      <w:pPr>
        <w:pStyle w:val="Naslov8"/>
        <w:jc w:val="left"/>
      </w:pPr>
      <w:r>
        <w:t>Zakonske i druge pravne osnove</w:t>
      </w:r>
    </w:p>
    <w:p w:rsidR="00F244BA" w:rsidRDefault="00AC19E4">
      <w:r>
        <w:t>- Strategija pomorskog razvitka i integralne pomorske politike Republike Hrvatske za razdoblje od 2014. do 2020. godine; Glava 5 .Jačanje pomorskih znanja i kulture</w:t>
      </w:r>
    </w:p>
    <w:p w:rsidR="00F244BA" w:rsidRDefault="00AC19E4">
      <w:pPr>
        <w:pStyle w:val="Naslov8"/>
        <w:jc w:val="left"/>
      </w:pPr>
      <w:r>
        <w:t>Opis aktivnosti</w:t>
      </w:r>
    </w:p>
    <w:p w:rsidR="00F244BA" w:rsidRDefault="00AC19E4">
      <w:r>
        <w:t xml:space="preserve">U sklopu manifestacije Dani hrvatskog pomorstva i unutarnje plovidbe u 2024. godini, uz svečanu akademiju na kojoj su dodijeljene nagrade i priznanja svima koji su dali poseban doprinos razvoju pomorstva i unutarnje plovidbe u Republici Hrvatskoj, održana je i Konferencija o pomorstvu i unutarnjoj plovidbi, o najaktualnijim temama iz područja pomorstva i unutarnje plovidbe, poput onih o novim mogućnostima ulaganja u unapređenje  lučke infrastrukture, kao i o ključnim propisima za gradnju i zahvate u prostoru pomorskog dobra koji ne podliježu propisima o gradnji. </w:t>
      </w:r>
    </w:p>
    <w:p w:rsidR="00F244BA" w:rsidRDefault="00AC19E4">
      <w:r>
        <w:t xml:space="preserve">Planirana  proračunska sredstva u iznosu od 54.476,56 € utrošena su za pripremu, organizaciju, provedbu i koordinaciju aktivnosti vezanih za Dane hrvatskog pomorstva i unutarnje plovidbe.  </w:t>
      </w:r>
    </w:p>
    <w:p w:rsidR="00F244BA" w:rsidRDefault="00AC19E4">
      <w:r>
        <w:t>Dio sredstava u iznosu od 6.500  € utrošen je za usluge organizacije, pripreme i koordinacije aktivnosti vezanih uz događaj „Obilježavanje 250 godina sustava lučkih kapetanija u Hrvatskoj“.</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održanih konferencija</w:t>
            </w:r>
          </w:p>
        </w:tc>
        <w:tc>
          <w:tcPr>
            <w:tcW w:w="2551" w:type="dxa"/>
          </w:tcPr>
          <w:p w:rsidR="00F244BA" w:rsidRDefault="00AC19E4">
            <w:pPr>
              <w:pStyle w:val="CellColumn"/>
              <w:jc w:val="left"/>
            </w:pPr>
            <w:r>
              <w:rPr>
                <w:rFonts w:cs="Times New Roman"/>
              </w:rPr>
              <w:t>Sudjelovanje na manifestaciji ima za cilj ukazivanje  na važnost hrvatskog pomorskog sektora na €opskom i svjetskom tržištu</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1</w:t>
            </w:r>
          </w:p>
        </w:tc>
      </w:tr>
    </w:tbl>
    <w:p w:rsidR="00F244BA" w:rsidRDefault="00F244BA">
      <w:pPr>
        <w:jc w:val="left"/>
      </w:pPr>
    </w:p>
    <w:p w:rsidR="00F244BA" w:rsidRDefault="00AC19E4">
      <w:pPr>
        <w:pStyle w:val="Naslov4"/>
      </w:pPr>
      <w:r>
        <w:t>A810040 PRIPREMA I PROVEDBA PROJEKATA U POMORSTVU</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A810040-PRIPREMA I PROVEDBA PROJEKATA U POMORSTVU</w:t>
            </w:r>
          </w:p>
        </w:tc>
        <w:tc>
          <w:tcPr>
            <w:tcW w:w="2041" w:type="dxa"/>
          </w:tcPr>
          <w:p w:rsidR="00F244BA" w:rsidRDefault="00AC19E4">
            <w:pPr>
              <w:pStyle w:val="CellColumn"/>
              <w:jc w:val="right"/>
            </w:pPr>
            <w:r>
              <w:rPr>
                <w:rFonts w:cs="Times New Roman"/>
              </w:rPr>
              <w:t>58.268</w:t>
            </w:r>
          </w:p>
        </w:tc>
        <w:tc>
          <w:tcPr>
            <w:tcW w:w="2041" w:type="dxa"/>
          </w:tcPr>
          <w:p w:rsidR="00F244BA" w:rsidRDefault="00AC19E4">
            <w:pPr>
              <w:pStyle w:val="CellColumn"/>
              <w:jc w:val="right"/>
            </w:pPr>
            <w:r>
              <w:rPr>
                <w:rFonts w:cs="Times New Roman"/>
              </w:rPr>
              <w:t>163.586</w:t>
            </w:r>
          </w:p>
        </w:tc>
        <w:tc>
          <w:tcPr>
            <w:tcW w:w="2041" w:type="dxa"/>
          </w:tcPr>
          <w:p w:rsidR="00F244BA" w:rsidRDefault="00AC19E4">
            <w:pPr>
              <w:pStyle w:val="CellColumn"/>
              <w:jc w:val="right"/>
            </w:pPr>
            <w:r>
              <w:rPr>
                <w:rFonts w:cs="Times New Roman"/>
              </w:rPr>
              <w:t>94.971</w:t>
            </w:r>
          </w:p>
        </w:tc>
        <w:tc>
          <w:tcPr>
            <w:tcW w:w="1224" w:type="dxa"/>
          </w:tcPr>
          <w:p w:rsidR="00F244BA" w:rsidRDefault="00AC19E4">
            <w:pPr>
              <w:pStyle w:val="CellColumn"/>
              <w:jc w:val="right"/>
            </w:pPr>
            <w:r>
              <w:rPr>
                <w:rFonts w:cs="Times New Roman"/>
              </w:rPr>
              <w:t>58,1</w:t>
            </w:r>
          </w:p>
        </w:tc>
        <w:tc>
          <w:tcPr>
            <w:tcW w:w="1224" w:type="dxa"/>
          </w:tcPr>
          <w:p w:rsidR="00F244BA" w:rsidRDefault="00AC19E4">
            <w:pPr>
              <w:pStyle w:val="CellColumn"/>
              <w:jc w:val="right"/>
            </w:pPr>
            <w:r>
              <w:rPr>
                <w:rFonts w:cs="Times New Roman"/>
              </w:rPr>
              <w:t>163,0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pomorskom dobru i morskim lukama </w:t>
      </w:r>
    </w:p>
    <w:p w:rsidR="00F244BA" w:rsidRDefault="00AC19E4">
      <w:r>
        <w:t xml:space="preserve">- Pomorski zakonik , članak 6., stavak 8.  </w:t>
      </w:r>
    </w:p>
    <w:p w:rsidR="00F244BA" w:rsidRDefault="00AC19E4">
      <w:r>
        <w:t xml:space="preserve">- Direktiva 2014/94/EU Europskog parlamenta i Vijeća od 22. listopada 2014. o uspostavi infrastrukture za alternativna goriva  </w:t>
      </w:r>
    </w:p>
    <w:p w:rsidR="00F244BA" w:rsidRDefault="00AC19E4">
      <w:r>
        <w:t xml:space="preserve">- Zakon o uspostavi infrastrukture za alternativna goriva  </w:t>
      </w:r>
    </w:p>
    <w:p w:rsidR="00F244BA" w:rsidRDefault="00AC19E4">
      <w:r>
        <w:t xml:space="preserve">- Nacionalni okvir politike za uspostavu infrastrukture i razvoj tržišta alternativnih goriva u prometu  </w:t>
      </w:r>
    </w:p>
    <w:p w:rsidR="00F244BA" w:rsidRDefault="00AC19E4">
      <w:r>
        <w:t xml:space="preserve">- Program Vlade Republike Hrvatske za razdoblje od 2020.-2024. godine </w:t>
      </w:r>
    </w:p>
    <w:p w:rsidR="00F244BA" w:rsidRDefault="00AC19E4">
      <w:r>
        <w:t>- Nacionalni plan razvoja obalnog linijskog pomorskog prometa do 2030. godine</w:t>
      </w:r>
    </w:p>
    <w:p w:rsidR="00F244BA" w:rsidRDefault="00AC19E4">
      <w:pPr>
        <w:pStyle w:val="Naslov8"/>
        <w:jc w:val="left"/>
      </w:pPr>
      <w:r>
        <w:t>Opis aktivnosti</w:t>
      </w:r>
    </w:p>
    <w:p w:rsidR="00F244BA" w:rsidRDefault="00AC19E4">
      <w:r>
        <w:t xml:space="preserve">Sredstva sa ove aktivnosti utrošena su za plaćanje obavljenih usluga Financijske agencije, Zagreb (FINA) vezano na izvršavanje Zakona o trošarinama  i Pravilnika o uvjetima i načinu oslobođenja od plaćanja trošarine na energente koji se koriste kao pogonsko gorivo za plovidbu u ukupnom iznosu od 67.471,06 €.  </w:t>
      </w:r>
    </w:p>
    <w:p w:rsidR="00F244BA" w:rsidRDefault="00AC19E4">
      <w:r>
        <w:t xml:space="preserve">Računi Financijske agencije koji se dostavljaju ovom Ministarstvu na naplatu mjesečno odnose se na plaćanje izvršene usluge programske podrške Sustavu nadzora potrošnje plinskog ulja za gospodarske i javne namjene u plovidbi, uz dostavljeni mjesečni Izvještaj  o istome. </w:t>
      </w:r>
    </w:p>
    <w:p w:rsidR="00F244BA" w:rsidRDefault="00AC19E4">
      <w:r>
        <w:t xml:space="preserve">Dio sredstava utrošen je za pravne usluge koje će služiti kao podloga za izmjene i dopune Zakona o prijevozu u linijskom i povremenom obalnom pomorskom prometu. </w:t>
      </w:r>
    </w:p>
    <w:p w:rsidR="00F244BA" w:rsidRDefault="00AC19E4">
      <w:r>
        <w:t>Resursi planirani za implementaciju planiranih strategija i nacionalnih planova nisu iskorišteni radi usklađivanja među relevantnim dionicima, što je rezultiralo odgodom početka implementacije aktivnosti.</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Izrađena Strategija pomorskog razvitka i integralne pomorske politike RH za razdoblje 2024.-2031.</w:t>
            </w:r>
          </w:p>
        </w:tc>
        <w:tc>
          <w:tcPr>
            <w:tcW w:w="2551" w:type="dxa"/>
          </w:tcPr>
          <w:p w:rsidR="00F244BA" w:rsidRDefault="00AC19E4">
            <w:pPr>
              <w:pStyle w:val="CellColumn"/>
              <w:jc w:val="left"/>
            </w:pPr>
            <w:r>
              <w:rPr>
                <w:rFonts w:cs="Times New Roman"/>
              </w:rPr>
              <w:t>Izrađenom Strategijom pomorskog razvitka i integralne pomorske politike RH za razdoblje 2024.-2031. pomorski sektor će dobiti nove strateške smjernice razvoja sukladno Zajedničkim politikama €opske Unije.</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0</w:t>
            </w:r>
          </w:p>
        </w:tc>
      </w:tr>
    </w:tbl>
    <w:p w:rsidR="00F244BA" w:rsidRDefault="00F244BA">
      <w:pPr>
        <w:jc w:val="left"/>
      </w:pPr>
    </w:p>
    <w:p w:rsidR="00F244BA" w:rsidRDefault="00AC19E4">
      <w:pPr>
        <w:pStyle w:val="Naslov3"/>
      </w:pPr>
      <w:r>
        <w:rPr>
          <w:rFonts w:cs="Times New Roman"/>
        </w:rPr>
        <w:t>3118 RAZVOJ I SIGURNOST KOPNENOG PROMETA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F244BA">
            <w:pPr>
              <w:pStyle w:val="CellHeader"/>
              <w:jc w:val="center"/>
            </w:pP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Index izvršenje 2024./2023.</w:t>
            </w:r>
          </w:p>
        </w:tc>
      </w:tr>
      <w:tr w:rsidR="00F244BA">
        <w:trPr>
          <w:jc w:val="center"/>
        </w:trPr>
        <w:tc>
          <w:tcPr>
            <w:tcW w:w="1632" w:type="dxa"/>
          </w:tcPr>
          <w:p w:rsidR="00F244BA" w:rsidRDefault="00AC19E4">
            <w:pPr>
              <w:pStyle w:val="CellColumn"/>
              <w:jc w:val="left"/>
            </w:pPr>
            <w:r>
              <w:rPr>
                <w:rFonts w:cs="Times New Roman"/>
              </w:rPr>
              <w:t>3118-RAZVOJ I SIGURNOST KOPNENOG PROMETA</w:t>
            </w:r>
          </w:p>
        </w:tc>
        <w:tc>
          <w:tcPr>
            <w:tcW w:w="2041" w:type="dxa"/>
          </w:tcPr>
          <w:p w:rsidR="00F244BA" w:rsidRDefault="00AC19E4">
            <w:pPr>
              <w:pStyle w:val="CellColumn"/>
              <w:jc w:val="right"/>
            </w:pPr>
            <w:r>
              <w:rPr>
                <w:rFonts w:cs="Times New Roman"/>
              </w:rPr>
              <w:t>204.221.552</w:t>
            </w:r>
          </w:p>
        </w:tc>
        <w:tc>
          <w:tcPr>
            <w:tcW w:w="2041" w:type="dxa"/>
          </w:tcPr>
          <w:p w:rsidR="00F244BA" w:rsidRDefault="00AC19E4">
            <w:pPr>
              <w:pStyle w:val="CellColumn"/>
              <w:jc w:val="right"/>
            </w:pPr>
            <w:r>
              <w:rPr>
                <w:rFonts w:cs="Times New Roman"/>
              </w:rPr>
              <w:t>219.501.206</w:t>
            </w:r>
          </w:p>
        </w:tc>
        <w:tc>
          <w:tcPr>
            <w:tcW w:w="2041" w:type="dxa"/>
          </w:tcPr>
          <w:p w:rsidR="00F244BA" w:rsidRDefault="00AC19E4">
            <w:pPr>
              <w:pStyle w:val="CellColumn"/>
              <w:jc w:val="right"/>
            </w:pPr>
            <w:r>
              <w:rPr>
                <w:rFonts w:cs="Times New Roman"/>
              </w:rPr>
              <w:t>215.062.835</w:t>
            </w:r>
          </w:p>
        </w:tc>
        <w:tc>
          <w:tcPr>
            <w:tcW w:w="1224" w:type="dxa"/>
          </w:tcPr>
          <w:p w:rsidR="00F244BA" w:rsidRDefault="00AC19E4">
            <w:pPr>
              <w:pStyle w:val="CellColumn"/>
              <w:jc w:val="right"/>
            </w:pPr>
            <w:r>
              <w:rPr>
                <w:rFonts w:cs="Times New Roman"/>
              </w:rPr>
              <w:t>98,0</w:t>
            </w:r>
          </w:p>
        </w:tc>
        <w:tc>
          <w:tcPr>
            <w:tcW w:w="1224" w:type="dxa"/>
          </w:tcPr>
          <w:p w:rsidR="00F244BA" w:rsidRDefault="00AC19E4">
            <w:pPr>
              <w:pStyle w:val="CellColumn"/>
              <w:jc w:val="right"/>
            </w:pPr>
            <w:r>
              <w:rPr>
                <w:rFonts w:cs="Times New Roman"/>
              </w:rPr>
              <w:t>105,3</w:t>
            </w:r>
          </w:p>
        </w:tc>
      </w:tr>
    </w:tbl>
    <w:p w:rsidR="00F244BA" w:rsidRDefault="00F244BA">
      <w:pPr>
        <w:jc w:val="left"/>
      </w:pPr>
    </w:p>
    <w:p w:rsidR="00F244BA" w:rsidRDefault="00AC19E4">
      <w:pPr>
        <w:pStyle w:val="Naslov8"/>
        <w:jc w:val="left"/>
      </w:pPr>
      <w:r>
        <w:t>Cilj 1. Osigurati pružanje kvalitetnije usluge željezničkim korisnicima kroz učinkovito upravljanje željezničkim sektorom</w:t>
      </w:r>
    </w:p>
    <w:p w:rsidR="00F244BA" w:rsidRDefault="00AC19E4">
      <w:pPr>
        <w:pStyle w:val="Naslov8"/>
        <w:jc w:val="left"/>
      </w:pPr>
      <w:r>
        <w:t>Opis provedbe cilja programa</w:t>
      </w:r>
    </w:p>
    <w:p w:rsidR="00F244BA" w:rsidRDefault="00AC19E4">
      <w:r>
        <w:t xml:space="preserve">Razvoj i sigurnost kopnenog prometa ostvaruje se kroz aktivnosti unaprijeđena strukturnih reformi željeznice, poticanja željezničkog putničkog prijevoza te upravljanja, organizacije i regulacije željezničkog prometa. </w:t>
      </w:r>
    </w:p>
    <w:p w:rsidR="00F244BA" w:rsidRDefault="00AC19E4">
      <w:r>
        <w:t xml:space="preserve">Ovim programom se kroz 2024. godinu osiguralo kontinuirano ulaganje u željeznički promet, modernizaciju željezničkih vozila i upravljanje, organizaciju i regulaciju prometa. </w:t>
      </w:r>
    </w:p>
    <w:p w:rsidR="00F244BA" w:rsidRDefault="00AC19E4">
      <w:r>
        <w:t xml:space="preserve">U 2024. godini ostvareno je ukupno 19.919.268 vlak kilometara, što je za 1,2% manje u odnosu na prethodnu godinu. U ukupno ostvarenim vlak kilometrima, 76,8% vlak kilometara ostvareno je na međunarodnim prugama, 16,1% na regionalnim i 7,1% na lokalnim prugama. </w:t>
      </w:r>
    </w:p>
    <w:p w:rsidR="00F244BA" w:rsidRDefault="00AC19E4">
      <w:r>
        <w:t xml:space="preserve">U aktivnostima upravljanja, organizacije i regulacije željezničkog prometa tijekom 2024. godine otpremljeno je 67.304 teretnih vlakova koji su ostvarili 6.639.904 vlak kilometara, što je na razini prethodne godine. Gotovo cjelokupni teretni promet (95%) mjeren vlak kilometrima odvijao se na međunarodnim prugama. </w:t>
      </w:r>
    </w:p>
    <w:p w:rsidR="00F244BA" w:rsidRDefault="00AC19E4">
      <w:r>
        <w:t xml:space="preserve">U putničkom prometu otpremljeno je 231.224 putničkih vlakova koji su ostvarili 13.279.364 vlak kilometara, što je za 1,8% manje nego u prethodnoj godini. Ulaganja u suvremene tehnologije u upravljanju prometom osigurala su sigurnost, kvalitetu i pouzdanost željezničkog prometa s ciljem što bržeg uključivanja u jedinstveni Europski željeznički sustav. </w:t>
      </w:r>
    </w:p>
    <w:p w:rsidR="00F244BA" w:rsidRDefault="00AC19E4">
      <w:r>
        <w:t xml:space="preserve">Društvo HŽ PUTNIČKI PRIJEVOZ d.o.o. završilo je 2024. godinu s dobrim pokazateljima u smislu povećanja broja prevezenih putnika te je u odnosu na 2023. godinu broj prevezenih putnika veći za 3,1 %. </w:t>
      </w:r>
    </w:p>
    <w:p w:rsidR="00F244BA" w:rsidRDefault="00AC19E4">
      <w:r>
        <w:t xml:space="preserve">Društvo HŽ PUTNIČKI PRIJEVOZ d.o.o. je u 2024. godini prevezlo 24.597 tisuća putnika, što je 14,4% više u odnosu na ciljanu vrijednost, te 32,3% više u odnosu na polaznu vrijednost. </w:t>
      </w:r>
    </w:p>
    <w:p w:rsidR="00F244BA" w:rsidRDefault="00AC19E4">
      <w:r>
        <w:t xml:space="preserve">Remonti su se odvijali na značajnom dijelu pružne mreže HŽ-a, odnosno na relacijama Zagreb GK-Zagreb ZK, Karlovac-Kamanje, Novska-Sunja, Deanovec -Popovača, Križevci-Koprivnica, Donji Kraljevec-Kotoriba, Čakovec-Središće, Pitomača-Kloštar, Čačinci-Slatina, Slavonski Brod-Sibinj, Zagreb-Rijeka i Labin Dalmatinski-Kaštel Stari. Tijekom remonta uvođene su usporene vožnje vlakova te zamjenski autobusni prijevoz, koji znatno narušava kvalitetu i potražnju za uslugama prijevoza putnika. </w:t>
      </w:r>
    </w:p>
    <w:p w:rsidR="00F244BA" w:rsidRDefault="00AC19E4">
      <w:r>
        <w:t>Uz obnovu željezničke infrastrukture, provedba pilot-projekata i nabava novih vlakova pozitivno će utjecati na povećanje broja putnika koji koriste javni željeznički putnički prijevoz.</w:t>
      </w:r>
    </w:p>
    <w:p w:rsidR="00F244BA" w:rsidRDefault="00AC19E4">
      <w:pPr>
        <w:pStyle w:val="Naslov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učinka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918"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Povećan (modalni) udio prijevoza tereta željeznicom u odnosu na ostale modalitete prijevoza</w:t>
            </w:r>
          </w:p>
        </w:tc>
        <w:tc>
          <w:tcPr>
            <w:tcW w:w="2551" w:type="dxa"/>
          </w:tcPr>
          <w:p w:rsidR="00F244BA" w:rsidRDefault="00AC19E4">
            <w:pPr>
              <w:pStyle w:val="CellColumn"/>
              <w:jc w:val="left"/>
            </w:pPr>
            <w:r>
              <w:rPr>
                <w:rFonts w:cs="Times New Roman"/>
              </w:rPr>
              <w:t>Pružanje kvalitetnije usluge željezničkog prijevoza dovest će do povećanja teretnog prijevoza u odnosu na ostale modalitete na području RH</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20,75</w:t>
            </w:r>
          </w:p>
        </w:tc>
        <w:tc>
          <w:tcPr>
            <w:tcW w:w="1020" w:type="dxa"/>
          </w:tcPr>
          <w:p w:rsidR="00F244BA" w:rsidRDefault="00AC19E4">
            <w:pPr>
              <w:pStyle w:val="CellColumn"/>
              <w:jc w:val="right"/>
            </w:pPr>
            <w:r>
              <w:rPr>
                <w:rFonts w:cs="Times New Roman"/>
              </w:rPr>
              <w:t>Državni zavod za statistiku</w:t>
            </w:r>
          </w:p>
        </w:tc>
        <w:tc>
          <w:tcPr>
            <w:tcW w:w="1020" w:type="dxa"/>
          </w:tcPr>
          <w:p w:rsidR="00F244BA" w:rsidRDefault="00AC19E4">
            <w:pPr>
              <w:pStyle w:val="CellColumn"/>
              <w:jc w:val="right"/>
            </w:pPr>
            <w:r>
              <w:rPr>
                <w:rFonts w:cs="Times New Roman"/>
              </w:rPr>
              <w:t>25,00</w:t>
            </w:r>
          </w:p>
        </w:tc>
        <w:tc>
          <w:tcPr>
            <w:tcW w:w="1020" w:type="dxa"/>
          </w:tcPr>
          <w:p w:rsidR="00F244BA" w:rsidRDefault="00AC19E4">
            <w:pPr>
              <w:pStyle w:val="CellColumn"/>
              <w:jc w:val="right"/>
            </w:pPr>
            <w:r>
              <w:rPr>
                <w:rFonts w:cs="Times New Roman"/>
              </w:rPr>
              <w:t>25,00</w:t>
            </w:r>
          </w:p>
        </w:tc>
      </w:tr>
      <w:tr w:rsidR="00F244BA">
        <w:trPr>
          <w:jc w:val="center"/>
        </w:trPr>
        <w:tc>
          <w:tcPr>
            <w:tcW w:w="2551" w:type="dxa"/>
          </w:tcPr>
          <w:p w:rsidR="00F244BA" w:rsidRDefault="00AC19E4">
            <w:pPr>
              <w:pStyle w:val="CellColumn"/>
              <w:jc w:val="left"/>
            </w:pPr>
            <w:r>
              <w:rPr>
                <w:rFonts w:cs="Times New Roman"/>
              </w:rPr>
              <w:t>Povećan broj putnika u željezničkom prijevozu u odnosu na druge oblike prijevoza</w:t>
            </w:r>
          </w:p>
        </w:tc>
        <w:tc>
          <w:tcPr>
            <w:tcW w:w="2551" w:type="dxa"/>
          </w:tcPr>
          <w:p w:rsidR="00F244BA" w:rsidRDefault="00AC19E4">
            <w:pPr>
              <w:pStyle w:val="CellColumn"/>
              <w:jc w:val="left"/>
            </w:pPr>
            <w:r>
              <w:rPr>
                <w:rFonts w:cs="Times New Roman"/>
              </w:rPr>
              <w:t>Pružanje kvalitetnije usluge željezničkim korisnicima dovest će do povećanja broja putnika u odnosu na ostale oblike prijevoza na području RH</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18.591</w:t>
            </w:r>
          </w:p>
        </w:tc>
        <w:tc>
          <w:tcPr>
            <w:tcW w:w="1020" w:type="dxa"/>
          </w:tcPr>
          <w:p w:rsidR="00F244BA" w:rsidRDefault="00AC19E4">
            <w:pPr>
              <w:pStyle w:val="CellColumn"/>
              <w:jc w:val="right"/>
            </w:pPr>
            <w:r>
              <w:rPr>
                <w:rFonts w:cs="Times New Roman"/>
              </w:rPr>
              <w:t>HŽPP</w:t>
            </w:r>
          </w:p>
        </w:tc>
        <w:tc>
          <w:tcPr>
            <w:tcW w:w="1020" w:type="dxa"/>
          </w:tcPr>
          <w:p w:rsidR="00F244BA" w:rsidRDefault="00AC19E4">
            <w:pPr>
              <w:pStyle w:val="CellColumn"/>
              <w:jc w:val="right"/>
            </w:pPr>
            <w:r>
              <w:rPr>
                <w:rFonts w:cs="Times New Roman"/>
              </w:rPr>
              <w:t>21.500</w:t>
            </w:r>
          </w:p>
        </w:tc>
        <w:tc>
          <w:tcPr>
            <w:tcW w:w="1020" w:type="dxa"/>
          </w:tcPr>
          <w:p w:rsidR="00F244BA" w:rsidRDefault="00AC19E4">
            <w:pPr>
              <w:pStyle w:val="CellColumn"/>
              <w:jc w:val="right"/>
            </w:pPr>
            <w:r>
              <w:rPr>
                <w:rFonts w:cs="Times New Roman"/>
              </w:rPr>
              <w:t>24.597</w:t>
            </w:r>
          </w:p>
        </w:tc>
      </w:tr>
    </w:tbl>
    <w:p w:rsidR="00F244BA" w:rsidRDefault="00F244BA">
      <w:pPr>
        <w:jc w:val="left"/>
      </w:pPr>
    </w:p>
    <w:p w:rsidR="00F244BA" w:rsidRDefault="00AC19E4">
      <w:pPr>
        <w:pStyle w:val="Naslov4"/>
      </w:pPr>
      <w:r>
        <w:t>A570334 UPRAVLJANJE, ORGANIZACIJA I REGULACIJA ŽELJEZNIČKOG PROMETA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A570334-UPRAVLJANJE, ORGANIZACIJA I REGULACIJA ŽELJEZNIČKOG PROMETA</w:t>
            </w:r>
          </w:p>
        </w:tc>
        <w:tc>
          <w:tcPr>
            <w:tcW w:w="2041" w:type="dxa"/>
          </w:tcPr>
          <w:p w:rsidR="00F244BA" w:rsidRDefault="00AC19E4">
            <w:pPr>
              <w:pStyle w:val="CellColumn"/>
              <w:jc w:val="right"/>
            </w:pPr>
            <w:r>
              <w:rPr>
                <w:rFonts w:cs="Times New Roman"/>
              </w:rPr>
              <w:t>89.959.499</w:t>
            </w:r>
          </w:p>
        </w:tc>
        <w:tc>
          <w:tcPr>
            <w:tcW w:w="2041" w:type="dxa"/>
          </w:tcPr>
          <w:p w:rsidR="00F244BA" w:rsidRDefault="00AC19E4">
            <w:pPr>
              <w:pStyle w:val="CellColumn"/>
              <w:jc w:val="right"/>
            </w:pPr>
            <w:r>
              <w:rPr>
                <w:rFonts w:cs="Times New Roman"/>
              </w:rPr>
              <w:t>63.900.000</w:t>
            </w:r>
          </w:p>
        </w:tc>
        <w:tc>
          <w:tcPr>
            <w:tcW w:w="2041" w:type="dxa"/>
          </w:tcPr>
          <w:p w:rsidR="00F244BA" w:rsidRDefault="00AC19E4">
            <w:pPr>
              <w:pStyle w:val="CellColumn"/>
              <w:jc w:val="right"/>
            </w:pPr>
            <w:r>
              <w:rPr>
                <w:rFonts w:cs="Times New Roman"/>
              </w:rPr>
              <w:t>63.900.000</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71,0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željeznici članak, 19. stavak 1.   </w:t>
      </w:r>
    </w:p>
    <w:p w:rsidR="00F244BA" w:rsidRDefault="00AC19E4">
      <w:r>
        <w:t xml:space="preserve">- Strategija prometnog razvoja Republike Hrvatske (2017. – 2030.) </w:t>
      </w:r>
    </w:p>
    <w:p w:rsidR="00F244BA" w:rsidRDefault="00AC19E4">
      <w:r>
        <w:t>- Ugovor o upravljanju željezničkom infrastrukturom</w:t>
      </w:r>
    </w:p>
    <w:p w:rsidR="00F244BA" w:rsidRDefault="00AC19E4">
      <w:pPr>
        <w:pStyle w:val="Naslov8"/>
        <w:jc w:val="left"/>
      </w:pPr>
      <w:r>
        <w:t>Opis aktivnosti</w:t>
      </w:r>
    </w:p>
    <w:p w:rsidR="00F244BA" w:rsidRDefault="00AC19E4">
      <w:r>
        <w:t xml:space="preserve">Tijekom 2024. godine doznačena proračunska sredstva HŽ INFRASTRUKTURI d.o.o. u ukupnom iznosu od 63.900.000 € utrošena su za:  </w:t>
      </w:r>
    </w:p>
    <w:p w:rsidR="00F244BA" w:rsidRDefault="00AC19E4">
      <w:r>
        <w:t>1.</w:t>
      </w:r>
      <w:r>
        <w:tab/>
        <w:t xml:space="preserve">Organizaciju i regulaciju željezničkog prometa u iznosu od 56.074.385,19 €, što je utrošeno za:  </w:t>
      </w:r>
    </w:p>
    <w:p w:rsidR="00F244BA" w:rsidRDefault="00AC19E4">
      <w:r>
        <w:t>˗</w:t>
      </w:r>
      <w:r>
        <w:tab/>
        <w:t xml:space="preserve">troškove radnika koji obuhvaćaju plaće, naknade za prijevoz, jednokratne dodatke i ostala materijalna prava temeljem važećeg Kolektivnog ugovora HŽ Infrastrukture d.o.o. u iznosu od 52.201.939,68 € </w:t>
      </w:r>
    </w:p>
    <w:p w:rsidR="00F244BA" w:rsidRDefault="00AC19E4">
      <w:r>
        <w:t>˗</w:t>
      </w:r>
      <w:r>
        <w:tab/>
        <w:t xml:space="preserve">podmirenje obveza prema dobavljačima u iznosu od 3.872.445,51 €. </w:t>
      </w:r>
    </w:p>
    <w:p w:rsidR="00F244BA" w:rsidRDefault="00AC19E4">
      <w:r>
        <w:t>2.</w:t>
      </w:r>
      <w:r>
        <w:tab/>
        <w:t xml:space="preserve">Upravljanje društvom HŽ INFRASTRUKTURA d.o.o. u iznosu od 7.825.614,81 €, što je utrošeno za: </w:t>
      </w:r>
    </w:p>
    <w:p w:rsidR="00F244BA" w:rsidRDefault="00AC19E4">
      <w:r>
        <w:t>˗</w:t>
      </w:r>
      <w:r>
        <w:tab/>
        <w:t xml:space="preserve">troškove radnika koji obuhvaćaju plaće, naknade za prijevoz, jednokratne dodatke i ostala materijalna prava temeljem važećeg Kolektivnog ugovora HŽ Infrastrukture d.o.o. u iznosu od 7.811.729,59 € </w:t>
      </w:r>
    </w:p>
    <w:p w:rsidR="00F244BA" w:rsidRDefault="00AC19E4">
      <w:r>
        <w:t>˗</w:t>
      </w:r>
      <w:r>
        <w:tab/>
        <w:t>podmirenje obveza prema dobavljačima u iznosu od 13.885,22 €.</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izvršenosti Ugovora</w:t>
            </w:r>
          </w:p>
        </w:tc>
        <w:tc>
          <w:tcPr>
            <w:tcW w:w="2551" w:type="dxa"/>
          </w:tcPr>
          <w:p w:rsidR="00F244BA" w:rsidRDefault="00AC19E4">
            <w:pPr>
              <w:pStyle w:val="CellColumn"/>
              <w:jc w:val="left"/>
            </w:pPr>
            <w:r>
              <w:rPr>
                <w:rFonts w:cs="Times New Roman"/>
              </w:rPr>
              <w:t>Na temelju zakonske regulative planirana su sredstva iz državnog proračuna za podmirenje troškova upravljanja prometom, organizaciju i regulaciju željezničkog prometa</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100</w:t>
            </w:r>
          </w:p>
        </w:tc>
      </w:tr>
    </w:tbl>
    <w:p w:rsidR="00F244BA" w:rsidRDefault="00F244BA">
      <w:pPr>
        <w:jc w:val="left"/>
      </w:pPr>
    </w:p>
    <w:p w:rsidR="00F244BA" w:rsidRDefault="00AC19E4">
      <w:pPr>
        <w:pStyle w:val="Naslov4"/>
      </w:pPr>
      <w:r>
        <w:t>A570491 UNAPREĐENJE STRUKTURNIH REFORMI ŽELJEZNICE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A570491-UNAPREĐENJE STRUKTURNIH REFORMI ŽELJEZNICE</w:t>
            </w:r>
          </w:p>
        </w:tc>
        <w:tc>
          <w:tcPr>
            <w:tcW w:w="2041" w:type="dxa"/>
          </w:tcPr>
          <w:p w:rsidR="00F244BA" w:rsidRDefault="00AC19E4">
            <w:pPr>
              <w:pStyle w:val="CellColumn"/>
              <w:jc w:val="right"/>
            </w:pPr>
            <w:r>
              <w:rPr>
                <w:rFonts w:cs="Times New Roman"/>
              </w:rPr>
              <w:t>155.815</w:t>
            </w:r>
          </w:p>
        </w:tc>
        <w:tc>
          <w:tcPr>
            <w:tcW w:w="2041" w:type="dxa"/>
          </w:tcPr>
          <w:p w:rsidR="00F244BA" w:rsidRDefault="00AC19E4">
            <w:pPr>
              <w:pStyle w:val="CellColumn"/>
              <w:jc w:val="right"/>
            </w:pPr>
            <w:r>
              <w:rPr>
                <w:rFonts w:cs="Times New Roman"/>
              </w:rPr>
              <w:t>231.994</w:t>
            </w:r>
          </w:p>
        </w:tc>
        <w:tc>
          <w:tcPr>
            <w:tcW w:w="2041" w:type="dxa"/>
          </w:tcPr>
          <w:p w:rsidR="00F244BA" w:rsidRDefault="00AC19E4">
            <w:pPr>
              <w:pStyle w:val="CellColumn"/>
              <w:jc w:val="right"/>
            </w:pPr>
            <w:r>
              <w:rPr>
                <w:rFonts w:cs="Times New Roman"/>
              </w:rPr>
              <w:t>96.581</w:t>
            </w:r>
          </w:p>
        </w:tc>
        <w:tc>
          <w:tcPr>
            <w:tcW w:w="1224" w:type="dxa"/>
          </w:tcPr>
          <w:p w:rsidR="00F244BA" w:rsidRDefault="00AC19E4">
            <w:pPr>
              <w:pStyle w:val="CellColumn"/>
              <w:jc w:val="right"/>
            </w:pPr>
            <w:r>
              <w:rPr>
                <w:rFonts w:cs="Times New Roman"/>
              </w:rPr>
              <w:t>41,6</w:t>
            </w:r>
          </w:p>
        </w:tc>
        <w:tc>
          <w:tcPr>
            <w:tcW w:w="1224" w:type="dxa"/>
          </w:tcPr>
          <w:p w:rsidR="00F244BA" w:rsidRDefault="00AC19E4">
            <w:pPr>
              <w:pStyle w:val="CellColumn"/>
              <w:jc w:val="right"/>
            </w:pPr>
            <w:r>
              <w:rPr>
                <w:rFonts w:cs="Times New Roman"/>
              </w:rPr>
              <w:t>62,0</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potvrđivanju protokola od 3. lipnja 1999. godine o izmjenama Konvencije o međunarodnom željezničkom prijevozu (COTIF) od 9. svibnja 1980. godine svojim potpisom pristupila međunarodnoj organizaciji OTIF-u (funkcija Depozitarne uprave COTIF-a) članku 26. </w:t>
      </w:r>
    </w:p>
    <w:p w:rsidR="00F244BA" w:rsidRDefault="00AC19E4">
      <w:r>
        <w:t>˗</w:t>
      </w:r>
      <w:r>
        <w:tab/>
        <w:t xml:space="preserve">Zakon o potvrđivanju (ratifikaciji) Fondacijskog ugovora o suradnji "Transeuropske željeznice (TER)"od 28. lipnja 1993. godine, koji je potpisan 21. srpnja 1993. godine </w:t>
      </w:r>
    </w:p>
    <w:p w:rsidR="00F244BA" w:rsidRDefault="00AC19E4">
      <w:r>
        <w:t>˗</w:t>
      </w:r>
      <w:r>
        <w:tab/>
        <w:t xml:space="preserve">Zakon o sigurnosti i interoperabilnosti željezničkog sustava </w:t>
      </w:r>
    </w:p>
    <w:p w:rsidR="00F244BA" w:rsidRDefault="00AC19E4">
      <w:r>
        <w:t>˗</w:t>
      </w:r>
      <w:r>
        <w:tab/>
        <w:t xml:space="preserve">Zakon o regulaciji tržišta željezničkih usluga i zaštiti prava putnika u željezničkom prijevozu </w:t>
      </w:r>
    </w:p>
    <w:p w:rsidR="00F244BA" w:rsidRDefault="00AC19E4">
      <w:r>
        <w:t>˗</w:t>
      </w:r>
      <w:r>
        <w:tab/>
        <w:t xml:space="preserve">Zakon o sustavu strateškog planiranja i upravljanja razvojem Republike Hrvatske </w:t>
      </w:r>
    </w:p>
    <w:p w:rsidR="00F244BA" w:rsidRDefault="00AC19E4">
      <w:r>
        <w:t>˗</w:t>
      </w:r>
      <w:r>
        <w:tab/>
        <w:t xml:space="preserve">Strategija razvoja željezničkog sustava Republike Hrvatske do 2032. godine </w:t>
      </w:r>
    </w:p>
    <w:p w:rsidR="00F244BA" w:rsidRDefault="00AC19E4">
      <w:r>
        <w:t>˗</w:t>
      </w:r>
      <w:r>
        <w:tab/>
        <w:t xml:space="preserve">Nacionalni plan upravljanja željezničkom infrastrukturom i uslužnim objektima i razvoja usluga željezničkog prijevoza za razdoblje do 2030. godine </w:t>
      </w:r>
    </w:p>
    <w:p w:rsidR="00F244BA" w:rsidRDefault="00AC19E4">
      <w:r>
        <w:t>˗</w:t>
      </w:r>
      <w:r>
        <w:tab/>
        <w:t xml:space="preserve">Nacionalni plan razvoja željezničke infrastrukture za razdoblje do 2030. godine </w:t>
      </w:r>
    </w:p>
    <w:p w:rsidR="00F244BA" w:rsidRDefault="00AC19E4">
      <w:r>
        <w:t>˗</w:t>
      </w:r>
      <w:r>
        <w:tab/>
        <w:t>Program rješavanja željezničko-cestovnih i pješačkih prijelaza preko pruge za razdoblje od 2023. do 2027. godine</w:t>
      </w:r>
    </w:p>
    <w:p w:rsidR="00F244BA" w:rsidRDefault="00AC19E4">
      <w:pPr>
        <w:pStyle w:val="Naslov8"/>
        <w:jc w:val="left"/>
      </w:pPr>
      <w:r>
        <w:t>Opis aktivnosti</w:t>
      </w:r>
    </w:p>
    <w:p w:rsidR="00F244BA" w:rsidRDefault="00AC19E4">
      <w:r>
        <w:t xml:space="preserve">U 2024. godini sredstva utrošena na ovoj aktivnosti odnose se na: </w:t>
      </w:r>
    </w:p>
    <w:p w:rsidR="00F244BA" w:rsidRDefault="00AC19E4">
      <w:r>
        <w:t>˗</w:t>
      </w:r>
      <w:r>
        <w:tab/>
        <w:t xml:space="preserve">plaćanje članarine u iznosu od 25.084,42 € (24.377,04 CHF) za članstvo u međunarodnoj organizaciji OTIF-a </w:t>
      </w:r>
    </w:p>
    <w:p w:rsidR="00F244BA" w:rsidRDefault="00AC19E4">
      <w:r>
        <w:t>˗</w:t>
      </w:r>
      <w:r>
        <w:tab/>
        <w:t xml:space="preserve">plaćanje članarine u iznosu od 9.219,99 € (10.000,00 USD) za članstvo u TER (Trans European Railway) </w:t>
      </w:r>
    </w:p>
    <w:p w:rsidR="00F244BA" w:rsidRDefault="00AC19E4">
      <w:r>
        <w:t>˗</w:t>
      </w:r>
      <w:r>
        <w:tab/>
        <w:t xml:space="preserve">plaćanja intelektualnih usluga u smislu ugovora o djelu i studentskih ugovora za pružanja stručne podrške u provedbi i kontroli Ugovora br. 1/2019/DP-HŽPP o javnim uslugama za usluge od općeg gospodarskog interesa u javnom željezničkom prijevozu u Republici Hrvatskoj te administrativnim aktivnostima povezanim sa kontrolom zahtjeva za isplatu društvu HŽ INFRASTRUKTURA d.o.o. u ukupnom iznosu 6.765,27 € </w:t>
      </w:r>
    </w:p>
    <w:p w:rsidR="00F244BA" w:rsidRDefault="00AC19E4">
      <w:r>
        <w:t>˗</w:t>
      </w:r>
      <w:r>
        <w:tab/>
        <w:t xml:space="preserve">uslugu izrade izvješća neovisnog revizora s izražavanjem ograničenog uvjerenja o financijskim informacijama i izračunima na 31. prosinca 2021. godine na temelju PSO Ugovora (Ugovora br. 1/2019/DP-HŽPP o javnim uslugama za usluge od općeg gospodarskog interesa u javnom željezničkom prijevozu u Republici Hrvatskoj) u iznosu od 31.250 € </w:t>
      </w:r>
    </w:p>
    <w:p w:rsidR="00F244BA" w:rsidRDefault="00AC19E4">
      <w:r>
        <w:t>˗</w:t>
      </w:r>
      <w:r>
        <w:tab/>
        <w:t xml:space="preserve">odvjetničke usluge vezane uz sastav pravnog mišljenja vezano za prijedlog kreditnog zaduženja društva HŽ PUTNIČKI PRIJEVOZ d.o.o. kod Europskog društva za financiranje nabavki željezničkog materijala (EUROFIMA-e) za obnovu elektrolokomotiva i radionica za održavanje željezničkih vozila, s aspekta državnih potpora, u iznosu od 10.000 € </w:t>
      </w:r>
    </w:p>
    <w:p w:rsidR="00F244BA" w:rsidRDefault="00AC19E4">
      <w:r>
        <w:t>˗</w:t>
      </w:r>
      <w:r>
        <w:tab/>
        <w:t xml:space="preserve">usluge pravnog savjetovanja i zastupanja u predmetu SA. 110307-(2023/NN)-HR-Potpora za sanaciju društva Pružne građevine pred Europskom komisijom (stručna pravna pomoć oko izrade podnesaka i očitovanja, savjetovanje na temu restrukturiranja trgovačkog društva Pružne građevine d.o.o., pružanje pravnih usluga vezane uz sastav Nagodbe između Republike Hrvatske i trgovačkog društva HŽ INFRASTRUKTURA d.o.o. s osnova podjele trgovačkog društva HŽ-Hrvatske željeznice d.o.o. u ukupnom iznosu od 7.000 € </w:t>
      </w:r>
    </w:p>
    <w:p w:rsidR="00F244BA" w:rsidRDefault="00AC19E4">
      <w:r>
        <w:t>˗</w:t>
      </w:r>
      <w:r>
        <w:tab/>
        <w:t xml:space="preserve">plaćanje troškova službenih putovanja i troškova stručnog usavršavanja zaposlenika zaposlenika Uprave za željezničku infrastrukturu i promet u iznosu od 7.261,76 €. </w:t>
      </w:r>
    </w:p>
    <w:p w:rsidR="00F244BA" w:rsidRDefault="00AC19E4">
      <w:r>
        <w:t xml:space="preserve">Dio aktivnosti prolongirano je za 2025. godinu, npr. Izrada prijedloga Ugovora o javnim uslugama od općeg gospodarskog značenja - PSO ugovor (III. Dodatak Ugovoru br. 1/2019/DP-HŽPP o javnim uslugama za usluge od općeg gospodarskog interesa u javnom željezničkom prijevozu u Republici Hrvatskoj između Republike Hrvatske, Ministarstva mora, prometa i infrastrukture i društva HŽ Putnički prijevoz d.o.o. za prijevoz putnika za razdoblje od 1. siječnja 2019. godine do 31. prosinca 2028. godine). </w:t>
      </w:r>
    </w:p>
    <w:p w:rsidR="00F244BA" w:rsidRDefault="00AC19E4">
      <w:r>
        <w:t>Obzirom da do kraja 2024. godine na plaćanje nisu pristigli svi računi za obavljene usluge, plaćanja su provedena početkom 2025.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sklopljenih ugovora u svrhu unapređenja strukturnih reformi željeznica</w:t>
            </w:r>
          </w:p>
        </w:tc>
        <w:tc>
          <w:tcPr>
            <w:tcW w:w="2551" w:type="dxa"/>
          </w:tcPr>
          <w:p w:rsidR="00F244BA" w:rsidRDefault="00AC19E4">
            <w:pPr>
              <w:pStyle w:val="CellColumn"/>
              <w:jc w:val="left"/>
            </w:pPr>
            <w:r>
              <w:rPr>
                <w:rFonts w:cs="Times New Roman"/>
              </w:rPr>
              <w:t>Sklapanje ugovora pridonijeti će unapređenju željezničkog sektora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1</w:t>
            </w:r>
          </w:p>
        </w:tc>
      </w:tr>
    </w:tbl>
    <w:p w:rsidR="00F244BA" w:rsidRDefault="00F244BA">
      <w:pPr>
        <w:jc w:val="left"/>
      </w:pPr>
    </w:p>
    <w:p w:rsidR="00F244BA" w:rsidRDefault="00AC19E4">
      <w:pPr>
        <w:pStyle w:val="Naslov4"/>
      </w:pPr>
      <w:r>
        <w:t>A587082 IZUZETO JAVNO DOBRO</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A587082-IZUZETO JAVNO DOBRO</w:t>
            </w:r>
          </w:p>
        </w:tc>
        <w:tc>
          <w:tcPr>
            <w:tcW w:w="2041" w:type="dxa"/>
          </w:tcPr>
          <w:p w:rsidR="00F244BA" w:rsidRDefault="00AC19E4">
            <w:pPr>
              <w:pStyle w:val="CellColumn"/>
              <w:jc w:val="right"/>
            </w:pPr>
            <w:r>
              <w:rPr>
                <w:rFonts w:cs="Times New Roman"/>
              </w:rPr>
              <w:t>10.617.825</w:t>
            </w:r>
          </w:p>
        </w:tc>
        <w:tc>
          <w:tcPr>
            <w:tcW w:w="2041" w:type="dxa"/>
          </w:tcPr>
          <w:p w:rsidR="00F244BA" w:rsidRDefault="00AC19E4">
            <w:pPr>
              <w:pStyle w:val="CellColumn"/>
              <w:jc w:val="right"/>
            </w:pPr>
            <w:r>
              <w:rPr>
                <w:rFonts w:cs="Times New Roman"/>
              </w:rPr>
              <w:t>10.617.825</w:t>
            </w:r>
          </w:p>
        </w:tc>
        <w:tc>
          <w:tcPr>
            <w:tcW w:w="2041" w:type="dxa"/>
          </w:tcPr>
          <w:p w:rsidR="00F244BA" w:rsidRDefault="00AC19E4">
            <w:pPr>
              <w:pStyle w:val="CellColumn"/>
              <w:jc w:val="right"/>
            </w:pPr>
            <w:r>
              <w:rPr>
                <w:rFonts w:cs="Times New Roman"/>
              </w:rPr>
              <w:t>10.617.825</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100,0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podjeli trgovačkog društva HŽ-Hrvatske željeznice d.o.o. </w:t>
      </w:r>
    </w:p>
    <w:p w:rsidR="00F244BA" w:rsidRDefault="00AC19E4">
      <w:r>
        <w:t xml:space="preserve">- Odluka Vlade Republike Hrvatske o podjeli trgovačkog društva HŽ-Hrvatske željeznice d.o.o. od 6. srpnja 2006. godine, točka II. </w:t>
      </w:r>
    </w:p>
    <w:p w:rsidR="00F244BA" w:rsidRDefault="00AC19E4">
      <w:r>
        <w:t>- Plan podjele trgovačkog društva HŽ-Hrvatske željeznice d.o.o., točka 1.4.</w:t>
      </w:r>
    </w:p>
    <w:p w:rsidR="00F244BA" w:rsidRDefault="00AC19E4">
      <w:pPr>
        <w:pStyle w:val="Naslov8"/>
        <w:jc w:val="left"/>
      </w:pPr>
      <w:r>
        <w:t>Opis aktivnosti</w:t>
      </w:r>
    </w:p>
    <w:p w:rsidR="00F244BA" w:rsidRDefault="00AC19E4">
      <w:r>
        <w:t xml:space="preserve">Između Republike Hrvatske i društva HŽ CARGO d.o.o. sklopljena je Nagodba koja se temelji na članku 2. stavku 2. Zakona o podjeli trgovačkog društva HŽ-HRVATSKE ŽELJEZNICE d.o.o., točki II. Odluke Vlade Republike Hrvatske o podjeli trgovačkog društva HŽ-HRVATSKE ŽELJEZNICE d.o.o. od 6. srpnja 2006. godine te točki 1.4. Plana podjele trgovačkog društva HŽ-HRVATSKE ŽELJEZNICE d.o.o. Zagreb s namjerom da se društvu HŽ CARGO d.o.o. namiri manje preneseni temeljni kapital na ime ulaganja u javno dobro (kao nadoknada uloženih vlastitih sredstava iz temeljnog kapitala), a na što društvo HŽ CARGO d.o.o. ima pravo kao pravni sljednik društva HŽ HRVATSKE ŽELJEZNICE d.o.o.. </w:t>
      </w:r>
    </w:p>
    <w:p w:rsidR="00F244BA" w:rsidRDefault="00AC19E4">
      <w:r>
        <w:t xml:space="preserve">Donošenjem Nagodbe, Ministarstvo mora, prometa i infrastrukture u ime Republike Hrvatske obvezalo se u razdoblju od 2022. do 2027. godine namiriti potraživanje društva HŽ CARGO d.o.o. za manje preneseni temeljni kapital na ime ulaganja u javno dobro u ukupnom iznosu od  67.863.604,58 €. Temeljem toga se s ove aktivnosti financira preuzimanje potraživanja, odnosno dospjele obveze društva HŽ CARGO d.o.o. prema društvu HŽ Infrastruktura d.o.o.. Ukupan iznos preuzetih obveza Republike Hrvatske za usuglašeni dug društva HŽ CARGO d.o.o. društvu HŽ INFRASTRUKTURA d.o.o. u cijelosti iznosi 53.315.675,84 €. Sva plaćanja provode se sukladno Sporazumu o usuglašenom dugu između Republike Hrvatske, društava HŽ CARGO d.o.o. i HŽ INFRASTRUKTURA d.o.o.. </w:t>
      </w:r>
    </w:p>
    <w:p w:rsidR="00F244BA" w:rsidRDefault="00AC19E4">
      <w:r>
        <w:t>Tijekom 2024. godine društvu HŽ INFRASTRUKTURA d.o.o. su doznačena proračunska sredstva u ukupnom iznosu od 10.617.825 € u svrhu izmirenja druge rate na temelju Nagodbe između Republike Hrvatske i društva HŽ CARGO d.o.o. (Klasa: 341-01/22-01/34, Urbroj: 530-06-3-1-22-23 od 23. prosinca 2022. godine i Ugovor o cesiji između društva HŽ CARGO d.o.o., Republike Hrvatske i društva HŽ INFRASTRUKTURA d.o.o. (Klasa: 341-01/22-01/34, Urbroj: 530-06-3-2-22-28 od 28. prosinca 2022.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Isplaćena sredstva društvu HŽ INFRASTRUKTURA d.o.o. na ime Nagodbe između RH i društva HŽ CARGO d.o.o.</w:t>
            </w:r>
          </w:p>
        </w:tc>
        <w:tc>
          <w:tcPr>
            <w:tcW w:w="2551" w:type="dxa"/>
          </w:tcPr>
          <w:p w:rsidR="00F244BA" w:rsidRDefault="00AC19E4">
            <w:pPr>
              <w:pStyle w:val="CellColumn"/>
              <w:jc w:val="left"/>
            </w:pPr>
            <w:r>
              <w:rPr>
                <w:rFonts w:cs="Times New Roman"/>
              </w:rPr>
              <w:t>Udio isplaćenih sredstava u odnosu na ukupan iznos preuzetog potraživanja od strane RH, a vezano za dug društva HŽ CARGO d.o.o. prema društvu HŽ INFRASTRUKTURA d.o.o. na temelju Nagodbe, a koje plaća MMPI</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19,92</w:t>
            </w:r>
          </w:p>
        </w:tc>
        <w:tc>
          <w:tcPr>
            <w:tcW w:w="1020" w:type="dxa"/>
          </w:tcPr>
          <w:p w:rsidR="00F244BA" w:rsidRDefault="00AC19E4">
            <w:pPr>
              <w:pStyle w:val="CellColumn"/>
              <w:jc w:val="right"/>
            </w:pPr>
            <w:r>
              <w:rPr>
                <w:rFonts w:cs="Times New Roman"/>
              </w:rPr>
              <w:t>19,92</w:t>
            </w:r>
          </w:p>
        </w:tc>
      </w:tr>
    </w:tbl>
    <w:p w:rsidR="00F244BA" w:rsidRDefault="00F244BA">
      <w:pPr>
        <w:jc w:val="left"/>
      </w:pPr>
    </w:p>
    <w:p w:rsidR="00F244BA" w:rsidRDefault="00AC19E4">
      <w:pPr>
        <w:pStyle w:val="Naslov4"/>
      </w:pPr>
      <w:r>
        <w:t>A754066 SUFINANCIRANJE IZDAVANJA LICENCIJA INŽENJERIMA TEHNOLOGIJE PROMETA I TRANSPORTA</w:t>
      </w:r>
    </w:p>
    <w:tbl>
      <w:tblPr>
        <w:tblStyle w:val="StilTablice"/>
        <w:tblW w:w="10206" w:type="dxa"/>
        <w:jc w:val="center"/>
        <w:tblLook w:val="04A0" w:firstRow="1" w:lastRow="0" w:firstColumn="1" w:lastColumn="0" w:noHBand="0" w:noVBand="1"/>
      </w:tblPr>
      <w:tblGrid>
        <w:gridCol w:w="1804"/>
        <w:gridCol w:w="1993"/>
        <w:gridCol w:w="1985"/>
        <w:gridCol w:w="1993"/>
        <w:gridCol w:w="1213"/>
        <w:gridCol w:w="1218"/>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A754066-SUFINANCIRANJE IZDAVANJA LICENCIJA INŽENJERIMA TEHNOLOGIJE PROMETA I TRANSPORTA</w:t>
            </w:r>
          </w:p>
        </w:tc>
        <w:tc>
          <w:tcPr>
            <w:tcW w:w="2041" w:type="dxa"/>
          </w:tcPr>
          <w:p w:rsidR="00F244BA" w:rsidRDefault="00AC19E4">
            <w:pPr>
              <w:pStyle w:val="CellColumn"/>
              <w:jc w:val="right"/>
            </w:pPr>
            <w:r>
              <w:rPr>
                <w:rFonts w:cs="Times New Roman"/>
              </w:rPr>
              <w:t>20.600</w:t>
            </w:r>
          </w:p>
        </w:tc>
        <w:tc>
          <w:tcPr>
            <w:tcW w:w="2041" w:type="dxa"/>
          </w:tcPr>
          <w:p w:rsidR="00F244BA" w:rsidRDefault="00AC19E4">
            <w:pPr>
              <w:pStyle w:val="CellColumn"/>
              <w:jc w:val="right"/>
            </w:pPr>
            <w:r>
              <w:rPr>
                <w:rFonts w:cs="Times New Roman"/>
              </w:rPr>
              <w:t>28.000</w:t>
            </w:r>
          </w:p>
        </w:tc>
        <w:tc>
          <w:tcPr>
            <w:tcW w:w="2041" w:type="dxa"/>
          </w:tcPr>
          <w:p w:rsidR="00F244BA" w:rsidRDefault="00AC19E4">
            <w:pPr>
              <w:pStyle w:val="CellColumn"/>
              <w:jc w:val="right"/>
            </w:pPr>
            <w:r>
              <w:rPr>
                <w:rFonts w:cs="Times New Roman"/>
              </w:rPr>
              <w:t>28.000</w:t>
            </w:r>
          </w:p>
        </w:tc>
        <w:tc>
          <w:tcPr>
            <w:tcW w:w="1224" w:type="dxa"/>
          </w:tcPr>
          <w:p w:rsidR="00F244BA" w:rsidRDefault="00AC19E4">
            <w:pPr>
              <w:pStyle w:val="CellColumn"/>
              <w:jc w:val="right"/>
            </w:pPr>
            <w:r>
              <w:rPr>
                <w:rFonts w:cs="Times New Roman"/>
              </w:rPr>
              <w:t>100,0</w:t>
            </w:r>
          </w:p>
        </w:tc>
        <w:tc>
          <w:tcPr>
            <w:tcW w:w="1224" w:type="dxa"/>
          </w:tcPr>
          <w:p w:rsidR="00F244BA" w:rsidRDefault="00AC19E4">
            <w:pPr>
              <w:pStyle w:val="CellColumn"/>
              <w:jc w:val="right"/>
            </w:pPr>
            <w:r>
              <w:rPr>
                <w:rFonts w:cs="Times New Roman"/>
              </w:rPr>
              <w:t>135,9</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Hrvatskoj komori inženjera tehnologije prometa i transporta, članak 29., stavak 1. i 2.   </w:t>
      </w:r>
    </w:p>
    <w:p w:rsidR="00F244BA" w:rsidRDefault="00AC19E4">
      <w:r>
        <w:t>- Zakon o proračunu</w:t>
      </w:r>
    </w:p>
    <w:p w:rsidR="00F244BA" w:rsidRDefault="00AC19E4">
      <w:pPr>
        <w:pStyle w:val="Naslov8"/>
        <w:jc w:val="left"/>
      </w:pPr>
      <w:r>
        <w:t>Opis aktivnosti</w:t>
      </w:r>
    </w:p>
    <w:p w:rsidR="00F244BA" w:rsidRDefault="00AC19E4">
      <w:r>
        <w:t xml:space="preserve">Provedba ove aktivnosti započela je u 2019. godini. Na temelju članka 29., stavak 1. i 2. Zakona o Hrvatskoj komori inženjera tehnologije prometa i transporta dodjeljuju se sredstva iz državnog proračuna Republike Hrvatske Hrvatskoj komori inženjera tehnologije prometa i transporta za izvršavanje poslova koje Komora obavlja kao pravna osoba s javnim ovlastima i to: davanje i oduzimanje ovlaštenim inženjerima odobrenje (licenciju) za rad u struci te izdavanje i oduzimanje iskaznice ovlaštenog inženjera i davanje i oduzimanje ovlaštenom inženjeru odobrenje (licenciju) za obavljanje samostalne djelatnosti kao i svih poslova koji su diretno vezani uz uz davanje i oduzimanje odobrenja.   </w:t>
      </w:r>
    </w:p>
    <w:p w:rsidR="00F244BA" w:rsidRDefault="00AC19E4">
      <w:r>
        <w:t>Tijekom 2024. godine Komori su isplaćena sredstva u ukupnom iznosu od 28.000 € za pokrivanje troškova izvršenja poslova koje Komora obavlja kao pravna osoba s javnim ovlastima.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izdanih ovlaštenja</w:t>
            </w:r>
          </w:p>
        </w:tc>
        <w:tc>
          <w:tcPr>
            <w:tcW w:w="2551" w:type="dxa"/>
          </w:tcPr>
          <w:p w:rsidR="00F244BA" w:rsidRDefault="00AC19E4">
            <w:pPr>
              <w:pStyle w:val="CellColumn"/>
              <w:jc w:val="left"/>
            </w:pPr>
            <w:r>
              <w:rPr>
                <w:rFonts w:cs="Times New Roman"/>
              </w:rPr>
              <w:t>Na temelju Zakona o Hrvatskoj komori inženjera tehnologije prometa i transporta isplaćuju se novčana sredstva za izdana ovlaštenja</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25</w:t>
            </w:r>
          </w:p>
        </w:tc>
        <w:tc>
          <w:tcPr>
            <w:tcW w:w="1020" w:type="dxa"/>
          </w:tcPr>
          <w:p w:rsidR="00F244BA" w:rsidRDefault="00AC19E4">
            <w:pPr>
              <w:pStyle w:val="CellColumn"/>
              <w:jc w:val="right"/>
            </w:pPr>
            <w:r>
              <w:rPr>
                <w:rFonts w:cs="Times New Roman"/>
              </w:rPr>
              <w:t>Hrvatska komora inženjera i tehnologije prometa i transporta</w:t>
            </w:r>
          </w:p>
        </w:tc>
        <w:tc>
          <w:tcPr>
            <w:tcW w:w="1020" w:type="dxa"/>
          </w:tcPr>
          <w:p w:rsidR="00F244BA" w:rsidRDefault="00AC19E4">
            <w:pPr>
              <w:pStyle w:val="CellColumn"/>
              <w:jc w:val="right"/>
            </w:pPr>
            <w:r>
              <w:rPr>
                <w:rFonts w:cs="Times New Roman"/>
              </w:rPr>
              <w:t>25</w:t>
            </w:r>
          </w:p>
        </w:tc>
        <w:tc>
          <w:tcPr>
            <w:tcW w:w="1020" w:type="dxa"/>
          </w:tcPr>
          <w:p w:rsidR="00F244BA" w:rsidRDefault="00AC19E4">
            <w:pPr>
              <w:pStyle w:val="CellColumn"/>
              <w:jc w:val="right"/>
            </w:pPr>
            <w:r>
              <w:rPr>
                <w:rFonts w:cs="Times New Roman"/>
              </w:rPr>
              <w:t>25</w:t>
            </w:r>
          </w:p>
        </w:tc>
      </w:tr>
    </w:tbl>
    <w:p w:rsidR="00F244BA" w:rsidRDefault="00F244BA">
      <w:pPr>
        <w:jc w:val="left"/>
      </w:pPr>
    </w:p>
    <w:p w:rsidR="00F244BA" w:rsidRDefault="00AC19E4">
      <w:pPr>
        <w:pStyle w:val="Naslov4"/>
      </w:pPr>
      <w:r>
        <w:t>A761011 POTICANJE ŽELJEZNIČKOG PUTNIČKOG PRIJEVOZA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A761011-POTICANJE ŽELJEZNIČKOG PUTNIČKOG PRIJEVOZA</w:t>
            </w:r>
          </w:p>
        </w:tc>
        <w:tc>
          <w:tcPr>
            <w:tcW w:w="2041" w:type="dxa"/>
          </w:tcPr>
          <w:p w:rsidR="00F244BA" w:rsidRDefault="00AC19E4">
            <w:pPr>
              <w:pStyle w:val="CellColumn"/>
              <w:jc w:val="right"/>
            </w:pPr>
            <w:r>
              <w:rPr>
                <w:rFonts w:cs="Times New Roman"/>
              </w:rPr>
              <w:t>79.644.165</w:t>
            </w:r>
          </w:p>
        </w:tc>
        <w:tc>
          <w:tcPr>
            <w:tcW w:w="2041" w:type="dxa"/>
          </w:tcPr>
          <w:p w:rsidR="00F244BA" w:rsidRDefault="00AC19E4">
            <w:pPr>
              <w:pStyle w:val="CellColumn"/>
              <w:jc w:val="right"/>
            </w:pPr>
            <w:r>
              <w:rPr>
                <w:rFonts w:cs="Times New Roman"/>
              </w:rPr>
              <w:t>115.750.000</w:t>
            </w:r>
          </w:p>
        </w:tc>
        <w:tc>
          <w:tcPr>
            <w:tcW w:w="2041" w:type="dxa"/>
          </w:tcPr>
          <w:p w:rsidR="00F244BA" w:rsidRDefault="00AC19E4">
            <w:pPr>
              <w:pStyle w:val="CellColumn"/>
              <w:jc w:val="right"/>
            </w:pPr>
            <w:r>
              <w:rPr>
                <w:rFonts w:cs="Times New Roman"/>
              </w:rPr>
              <w:t>115.224.570</w:t>
            </w:r>
          </w:p>
        </w:tc>
        <w:tc>
          <w:tcPr>
            <w:tcW w:w="1224" w:type="dxa"/>
          </w:tcPr>
          <w:p w:rsidR="00F244BA" w:rsidRDefault="00AC19E4">
            <w:pPr>
              <w:pStyle w:val="CellColumn"/>
              <w:jc w:val="right"/>
            </w:pPr>
            <w:r>
              <w:rPr>
                <w:rFonts w:cs="Times New Roman"/>
              </w:rPr>
              <w:t>99,5</w:t>
            </w:r>
          </w:p>
        </w:tc>
        <w:tc>
          <w:tcPr>
            <w:tcW w:w="1224" w:type="dxa"/>
          </w:tcPr>
          <w:p w:rsidR="00F244BA" w:rsidRDefault="00AC19E4">
            <w:pPr>
              <w:pStyle w:val="CellColumn"/>
              <w:jc w:val="right"/>
            </w:pPr>
            <w:r>
              <w:rPr>
                <w:rFonts w:cs="Times New Roman"/>
              </w:rPr>
              <w:t>144,7</w:t>
            </w:r>
          </w:p>
        </w:tc>
      </w:tr>
    </w:tbl>
    <w:p w:rsidR="00F244BA" w:rsidRDefault="00F244BA">
      <w:pPr>
        <w:jc w:val="left"/>
      </w:pPr>
    </w:p>
    <w:p w:rsidR="00F244BA" w:rsidRDefault="00AC19E4">
      <w:pPr>
        <w:pStyle w:val="Naslov8"/>
        <w:jc w:val="left"/>
      </w:pPr>
      <w:r>
        <w:t>Zakonske i druge pravne osnove</w:t>
      </w:r>
    </w:p>
    <w:p w:rsidR="00F244BA" w:rsidRDefault="00AC19E4">
      <w:r>
        <w:t>˗</w:t>
      </w:r>
      <w:r>
        <w:tab/>
        <w:t xml:space="preserve">Zakon o željeznici </w:t>
      </w:r>
    </w:p>
    <w:p w:rsidR="00F244BA" w:rsidRDefault="00AC19E4">
      <w:r>
        <w:t>˗</w:t>
      </w:r>
      <w:r>
        <w:tab/>
        <w:t xml:space="preserve">Zakon o sigurnosti i interoperabilnosti željezničkog sustava </w:t>
      </w:r>
    </w:p>
    <w:p w:rsidR="00F244BA" w:rsidRDefault="00AC19E4">
      <w:r>
        <w:t>˗</w:t>
      </w:r>
      <w:r>
        <w:tab/>
        <w:t xml:space="preserve">Zakon o regulaciji tržišta željezničkih usluga i zaštiti prava putnika u željezničkom prijevozu </w:t>
      </w:r>
    </w:p>
    <w:p w:rsidR="00F244BA" w:rsidRDefault="00AC19E4">
      <w:r>
        <w:t>˗</w:t>
      </w:r>
      <w:r>
        <w:tab/>
        <w:t xml:space="preserve">Zakon o državnim potporama </w:t>
      </w:r>
    </w:p>
    <w:p w:rsidR="00F244BA" w:rsidRDefault="00AC19E4">
      <w:r>
        <w:t>˗</w:t>
      </w:r>
      <w:r>
        <w:tab/>
        <w:t xml:space="preserve">Zakon o proračunu </w:t>
      </w:r>
    </w:p>
    <w:p w:rsidR="00F244BA" w:rsidRDefault="00AC19E4">
      <w:r>
        <w:t>˗</w:t>
      </w:r>
      <w:r>
        <w:tab/>
        <w:t xml:space="preserve">Uredba (EZ) br. 1370/2007 o uslugama javnog željezničkog i cestovnog prijevoza </w:t>
      </w:r>
    </w:p>
    <w:p w:rsidR="00F244BA" w:rsidRDefault="00AC19E4">
      <w:r>
        <w:t>˗</w:t>
      </w:r>
      <w:r>
        <w:tab/>
        <w:t xml:space="preserve">Uredba (EU) 2016/2338 Europskog parlamenta i Vijeća od 14. prosinca 2016. godine o izmjeni Uredbe (EZ) br. 1370/2007 u pogledu otvaranja tržišta za usluge domaćeg željezničkog prijevoza putnika (Tekst značajan za EGP) (SL L 354, 23.12.2016.) </w:t>
      </w:r>
    </w:p>
    <w:p w:rsidR="00F244BA" w:rsidRDefault="00AC19E4">
      <w:r>
        <w:t>˗</w:t>
      </w:r>
      <w:r>
        <w:tab/>
        <w:t xml:space="preserve">Odluka Vlade Republike Hrvatske (sjednica održana 13. prosinca 2018. g.) o davanju suglasnosti Ministarstvu mora, prometa i infrastrukture za preuzimanje obveza na teret sredstava državnog proračuna Republike Hrvatske za razdoblje od 2019. do 2028. godine, za sklapanje ugovora s društvom HŽ PUTNIČKI PRIJEVOZ d.o.o. za prijevoz putnika, o javnim uslugama za usluge od općeg gospodarskog interesa u javnom željezničkom prijevozu u Republici Hrvatskoj za razdoblje od 01. siječnja 2019. do 31. prosinca 2028. godine </w:t>
      </w:r>
    </w:p>
    <w:p w:rsidR="00F244BA" w:rsidRDefault="00AC19E4">
      <w:r>
        <w:t>˗</w:t>
      </w:r>
      <w:r>
        <w:tab/>
        <w:t>Ugovor br. 1/2019/DP-HŽPP o javnim uslugama za usluge od općeg gospodarskog interesa u javnom željezničkom prijevozu u Republici Hrvatskoj za razdoblje od 01. siječnja 2019. do 31. prosinca 2028. godine i njegovi dodaci.</w:t>
      </w:r>
    </w:p>
    <w:p w:rsidR="00F244BA" w:rsidRDefault="00AC19E4">
      <w:pPr>
        <w:pStyle w:val="Naslov8"/>
        <w:jc w:val="left"/>
      </w:pPr>
      <w:r>
        <w:t>Opis aktivnosti</w:t>
      </w:r>
    </w:p>
    <w:p w:rsidR="00F244BA" w:rsidRDefault="00AC19E4">
      <w:r>
        <w:t xml:space="preserve">Ministarstvo je potpisalo Ugovor br.1/2019/DP-HŽPP o javnim uslugama za usluge od općeg gospodarskog interesa u javnom željezničkom prijevozu u Republici Hrvatskoj za razdoblje od 01. siječnja 2019. do 31. prosinca 2028. godine te I. i II. Dodatak Ugovoru kojim su odobrena financijska sredstva u svrhu plaćanja nastalih obveza tijekom 2024. godine u ukupnom iznosu od 115.224.570,17 €, a ista su utrošena u cijelosti kako slijedi:  </w:t>
      </w:r>
    </w:p>
    <w:p w:rsidR="00F244BA" w:rsidRDefault="00AC19E4">
      <w:r>
        <w:t xml:space="preserve">1. za usluge preventivnog i korektivnog održavanja željezničkih vozila u iznosu od 18.408.720,61 € temeljem preuzetih obveza od strane HŽ PUTNIČKOG PRIJEVOZA d.o.o. nastalih realizacijom ugovora kako slijedi:  </w:t>
      </w:r>
    </w:p>
    <w:p w:rsidR="00F244BA" w:rsidRDefault="00AC19E4">
      <w:r>
        <w:t xml:space="preserve">1.1. za usluge održavanja putničkih vagona, sredstva u iznosu od 2.799.514,55 € utrošena su temeljem nastalih ugovornih obveza prema izvršiteljima usluga i to: </w:t>
      </w:r>
    </w:p>
    <w:p w:rsidR="00F244BA" w:rsidRDefault="00AC19E4">
      <w:r>
        <w:t>˗</w:t>
      </w:r>
      <w:r>
        <w:tab/>
        <w:t xml:space="preserve">prema društvu Održavanje vagona d.o.o., iznos od 1.963.891,27 € utrošen je sukladno odredbama Ugovora br. 14/23-PP, Okvirnog sporazuma 16/23-PP i Narudžbenice 4500073023  </w:t>
      </w:r>
    </w:p>
    <w:p w:rsidR="00F244BA" w:rsidRDefault="00AC19E4">
      <w:r>
        <w:t>˗</w:t>
      </w:r>
      <w:r>
        <w:tab/>
        <w:t xml:space="preserve">prema društvu TŽV Gredelj d.o.o., iznos od 835.623,28 € utrošen je sukladno odredbama Ugovora br. 14/23-PP,  Okvirnog sporazuma 16/23-PP. </w:t>
      </w:r>
    </w:p>
    <w:p w:rsidR="00F244BA" w:rsidRDefault="00AC19E4">
      <w:r>
        <w:t xml:space="preserve">1.2. za usluge održavanja vučnih vozila, sredstva u iznosu od 12.850.980,30 € utrošena su temeljem nastalih ugovornih obveza prema povezanom društvu Tehnički servisi željezničkih vozila d.o.o. sukladno odredbama Ugovora br. 16/23-PP, I Aneksa Ugovora 16/23-PP, Narudžbenica 4500072909, Narudžbenica 4500072998, Odluke o odabiru br. UP-34-1-1/24. </w:t>
      </w:r>
    </w:p>
    <w:p w:rsidR="00F244BA" w:rsidRDefault="00AC19E4">
      <w:r>
        <w:t xml:space="preserve">1.3. za usluge čišćenja željezničkih vozila, sredstava u iznosu od 2.758.225,76 € utrošena su temeljem nastalih ugovornih obveza prema povezanom društvu Tehnički servisi željezničkih vozila d.o.o. realizacijom Ugovora br. 5/23-PP i Odluke o odabiru br. UP-09-2-1/24. </w:t>
      </w:r>
    </w:p>
    <w:p w:rsidR="00F244BA" w:rsidRDefault="00AC19E4">
      <w:r>
        <w:t xml:space="preserve">Troškovi održavanja putničkih vagona i vučnih vozila sastoje se od troškova usluge održavanja vučnih vozila po prijeđenom kilometru, usluge obavljanja kontrolnog pregleda KP6, usluge održavanja putničkih vagona i usluge čišćenja željezničkih vozila. Društvo HŽ PUTNIČKI PRIJEVOZ d.o.o. kao vlasnik prijevoznih kapaciteta (vučnih vozila i putničkih vagona) dužan je iste održavati poštujući odredbe Zakona o sigurnosti i interoperabilnosti željezničkog sustava (NN 63/2020) kao i odredbi Uputa za održavanje vučnih vozila u vlasništvu HŽ PUTNIČKOG PRIJEVOZA d.o.o. (SV 28/23; 11/24) i Upute o održavanju putničkih vagona u vlasništvu HŽ PUTNIČKOG PRIJEVOZA d.o.o. (25/23; 8/24). Istim Uputama propisani su ciklusi preventivnog održavanja kroz obavljanje obveznih servisnih i kontrolnih pregleda kao i način otklanjanja neispravnosti kroz izvanredne popravke, odnosno korektivno održavanje. Društvo HŽ PUTNIČKI PRIJEVOZ d.o.o. je u svojstvu naručitelja usluga, sukladno odredbama Zakona o javnoj nabavi, provodio pregovarački postupak s prethodnom objavom poziva za nadmetanje i postupak nabave usluga za dodjelu ugovora povezanom društvu.  </w:t>
      </w:r>
    </w:p>
    <w:p w:rsidR="00F244BA" w:rsidRDefault="00AC19E4">
      <w:r>
        <w:t xml:space="preserve">2. za troškove pristupa željezničkoj infrastrukturi i dodatnih usluga koje pruža upravitelj željezničke infrastrukture u Republici Hrvatskoj-društvo HŽ INFRASTRUKTURA d.o.o., koji su nastali sukladno odredbama važećeg Zakona o željeznici, Izvješću o mreži 2023. godine i Izvješću o mreži 2024. godine, uz vozni red za 2023./2024. i vozni red 2024./2025. godinu i obostrano zaključenim ugovorima, a sredstva u iznosu od 13.227.386,08 € utrošena su temeljem nastalih ugovornih obveza kako slijedi: </w:t>
      </w:r>
    </w:p>
    <w:p w:rsidR="00F244BA" w:rsidRDefault="00AC19E4">
      <w:r>
        <w:t xml:space="preserve">2.1. za usluge pristupa željezničkoj infrastrukturi (trasa) iznos od 7.646.986,20 € utrošen je realizacijom Ugovora 506 i Ugovora 572 </w:t>
      </w:r>
    </w:p>
    <w:p w:rsidR="00F244BA" w:rsidRDefault="00AC19E4">
      <w:r>
        <w:t xml:space="preserve">2.2. za usluge formiranja i rasformiranja sastava vlakova iznos od 494.550,59 € utrošen je realizacijom Ugovora 508 i Ugovora 574  </w:t>
      </w:r>
    </w:p>
    <w:p w:rsidR="00F244BA" w:rsidRDefault="00AC19E4">
      <w:r>
        <w:t xml:space="preserve">2.3. za usluge korištenja željezničkih putničkih kolodvora i stajališta, iznos od 798.275,43 € utrošen je realizacijom Ugovora 508 i Ugovora 574 </w:t>
      </w:r>
    </w:p>
    <w:p w:rsidR="00F244BA" w:rsidRDefault="00AC19E4">
      <w:r>
        <w:t xml:space="preserve">2.4. za usluge isporuke električne energije za vuču vlakova s elektrovučnim vozilima iznos od 4.287.573,86 € utrošen je realizacijom Ugovora 573. </w:t>
      </w:r>
    </w:p>
    <w:p w:rsidR="00F244BA" w:rsidRDefault="00AC19E4">
      <w:r>
        <w:t xml:space="preserve">3. za usluge nabave pogonske energije-eurodizela BS, za vuču vlakova za dizel vučna vozila, sredstva u iznosu od 7.714.038,09 €, utrošena su prema društvu Petrol d.o.o. realizacijom Ugovora 18/21-PP, Odluke o odabiru br. UP-1-3-1/24 i Ugovora br. 3/24-PP </w:t>
      </w:r>
    </w:p>
    <w:p w:rsidR="00F244BA" w:rsidRDefault="00AC19E4">
      <w:r>
        <w:t xml:space="preserve">4. za trošak radne snage društva HŽ PUTNIČKI PRIJEVOZ d.o.o., za plaće zaposlenika i dodatke na plaću utrošena su sredstva u iznosu od 46.495.746,79 € </w:t>
      </w:r>
    </w:p>
    <w:p w:rsidR="00F244BA" w:rsidRDefault="00AC19E4">
      <w:r>
        <w:t xml:space="preserve">5. za amortizaciju prijevoznih kapaciteta, utrošena su sredstva u iznosu od 11.719.597,43 € </w:t>
      </w:r>
    </w:p>
    <w:p w:rsidR="00F244BA" w:rsidRDefault="00AC19E4">
      <w:r>
        <w:t xml:space="preserve">6. za ostale usluge utrošena su sredstva u iznosu od 1.134.478,08 €, temeljem ugovornih obveza i to za usluge održavanja informatičkog sustava nastalih realizacijom ugovornih obveza prema izvršiteljima usluge KING ICT d.o.o. (Odluka o odabiru UP-59-6-1/22 i Odluka o odabiru UP-64-1-1/23); Combis d.o.o. (Ugovor 28/22) i CompING d.o.o. (Ugovor broj 47/23-PP) </w:t>
      </w:r>
    </w:p>
    <w:p w:rsidR="00F244BA" w:rsidRDefault="00AC19E4">
      <w:r>
        <w:t xml:space="preserve">7. za uplatu avansa po ug. 22/24-PP- KONČAR-ELEKTRIČNA VOZILA d.d.-6 EDMV u iznosu 14.334.061,50 € </w:t>
      </w:r>
    </w:p>
    <w:p w:rsidR="00F244BA" w:rsidRDefault="00AC19E4">
      <w:r>
        <w:t xml:space="preserve">8. za Modernizaciju informatičkog i prodajnog sustava (ugovori Diverto d.o.o. i KING ICT d.d.) u iznosu 390.508,67 €. </w:t>
      </w:r>
    </w:p>
    <w:p w:rsidR="00F244BA" w:rsidRDefault="00AC19E4">
      <w:r>
        <w:t xml:space="preserve">Društvo HŽ PUTNIČKI PRIJEVOZ d.o.o. završilo je 2024. godinu s dobrim pokazateljima u smislu povećanja broja prevezenih putnika te je u odnosu na 2023. godinu broj prevezenih putnika veći za 3,1 %. U 2024. godini nastavila se provedba pilot-projekata besplatnoga javnog željezničkog prijevoza djece i učenika osnovnih i srednjih škola te pilot-projekta povoljnijeg prijevoza redovnih studenata. I dalje je osiguran besplatan prijevoz stanovnika pogođenih potresom na području Sisačko-moslavačke županije, kao i ukrajinskih državljana. Također, od 1. siječnja 2024. godine uveden je pilot-projekt besplatnog prijevoza umirovljenika i osoba starijih od 65 godina. </w:t>
      </w:r>
    </w:p>
    <w:p w:rsidR="00F244BA" w:rsidRDefault="00AC19E4">
      <w:r>
        <w:t xml:space="preserve">  </w:t>
      </w:r>
    </w:p>
    <w:p w:rsidR="00F244BA" w:rsidRDefault="00AC19E4">
      <w:r>
        <w:t xml:space="preserve">Pokazatelj izvršenja PSO ugovora veći je za 42,9 % u odnosu na polaznu vrijednost, odnosno 2022. godinu. </w:t>
      </w:r>
    </w:p>
    <w:p w:rsidR="00F244BA" w:rsidRDefault="00AC19E4">
      <w:r>
        <w:t xml:space="preserve">Na povećanje stavke PSO ugovora utjecao je izostali prihod na temelju provedbe pilot-projekta besplatnog javnog željezničkog prijevoza djece i učenika osnovnih i srednjih škola na području Republike Hrvatske, provedbe besplatnog prijevoza za stanovnike s područja Sisačko-moslavačke županije, pilot-projekta povoljnijeg prijevoza redovnih studenata te pilot-projekt besplatnog prijevoza umirovljenika i osoba starijih od 65 godina. Temeljem zaključka sa sastanka Središnjeg ureda za demografiju, Ministarstva mora, prometa i infrastrukture i društva HŽ PUTNIČKI PRIJEVOZ d.o.o., radi osiguranja bolje prometne povezanosti i sprječavanja iseljavanja stanovništva iz ruralnih krajeva, u novom voznom redu 2023./2024. uvedeni su brzi vlakovi na relacijama Zagreb-Požega, Zagreb -Sisak, Zagreb-Zabok, Zagreb-Duga Resa-i Zagreb -Križevci. </w:t>
      </w:r>
    </w:p>
    <w:p w:rsidR="00F244BA" w:rsidRDefault="00AC19E4">
      <w:r>
        <w:t>Uslijed izvođenja radova na pružnoj mreži uvode se zatvori pruga, smanjuju se brzine prometovanja vlakova te se uvode usporene vožnje što povećava troškove eksploatacije i do 30 % zbog povećanih potreba za vozilima i radom. Doznačena sredstva uključuju i 1.800.032,92 € (razlika doznačenih i ostvarenih opravdanih sredstava za 2021. godinu).</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Postotak izvršenja PSO Ugovora</w:t>
            </w:r>
          </w:p>
        </w:tc>
        <w:tc>
          <w:tcPr>
            <w:tcW w:w="2551" w:type="dxa"/>
          </w:tcPr>
          <w:p w:rsidR="00F244BA" w:rsidRDefault="00AC19E4">
            <w:pPr>
              <w:pStyle w:val="CellColumn"/>
              <w:jc w:val="left"/>
            </w:pPr>
            <w:r>
              <w:rPr>
                <w:rFonts w:cs="Times New Roman"/>
              </w:rPr>
              <w:t>Poticanjem željezničkog prijevoza i provedbom Ugovora o javnom željezničkom putničkom prijevozu na svim dionicama RH rasti će broj putnika željeznicom</w:t>
            </w:r>
          </w:p>
        </w:tc>
        <w:tc>
          <w:tcPr>
            <w:tcW w:w="1020" w:type="dxa"/>
          </w:tcPr>
          <w:p w:rsidR="00F244BA" w:rsidRDefault="00AC19E4">
            <w:pPr>
              <w:pStyle w:val="CellColumn"/>
              <w:jc w:val="right"/>
            </w:pPr>
            <w:r>
              <w:rPr>
                <w:rFonts w:cs="Times New Roman"/>
              </w:rPr>
              <w:t>%</w:t>
            </w:r>
          </w:p>
        </w:tc>
        <w:tc>
          <w:tcPr>
            <w:tcW w:w="1020" w:type="dxa"/>
          </w:tcPr>
          <w:p w:rsidR="00F244BA" w:rsidRDefault="00AC19E4">
            <w:pPr>
              <w:pStyle w:val="CellColumn"/>
              <w:jc w:val="right"/>
            </w:pPr>
            <w:r>
              <w:rPr>
                <w:rFonts w:cs="Times New Roman"/>
              </w:rPr>
              <w:t>100</w:t>
            </w:r>
          </w:p>
        </w:tc>
        <w:tc>
          <w:tcPr>
            <w:tcW w:w="1020" w:type="dxa"/>
          </w:tcPr>
          <w:p w:rsidR="00F244BA" w:rsidRDefault="00AC19E4">
            <w:pPr>
              <w:pStyle w:val="CellColumn"/>
              <w:jc w:val="right"/>
            </w:pPr>
            <w:r>
              <w:rPr>
                <w:rFonts w:cs="Times New Roman"/>
              </w:rPr>
              <w:t>HŽPP</w:t>
            </w:r>
          </w:p>
        </w:tc>
        <w:tc>
          <w:tcPr>
            <w:tcW w:w="1020" w:type="dxa"/>
          </w:tcPr>
          <w:p w:rsidR="00F244BA" w:rsidRDefault="00AC19E4">
            <w:pPr>
              <w:pStyle w:val="CellColumn"/>
              <w:jc w:val="right"/>
            </w:pPr>
            <w:r>
              <w:rPr>
                <w:rFonts w:cs="Times New Roman"/>
              </w:rPr>
              <w:t>111,7</w:t>
            </w:r>
          </w:p>
        </w:tc>
        <w:tc>
          <w:tcPr>
            <w:tcW w:w="1020" w:type="dxa"/>
          </w:tcPr>
          <w:p w:rsidR="00F244BA" w:rsidRDefault="00AC19E4">
            <w:pPr>
              <w:pStyle w:val="CellColumn"/>
              <w:jc w:val="right"/>
            </w:pPr>
            <w:r>
              <w:rPr>
                <w:rFonts w:cs="Times New Roman"/>
              </w:rPr>
              <w:t>142,9</w:t>
            </w:r>
          </w:p>
        </w:tc>
      </w:tr>
    </w:tbl>
    <w:p w:rsidR="00F244BA" w:rsidRDefault="00F244BA">
      <w:pPr>
        <w:jc w:val="left"/>
      </w:pPr>
    </w:p>
    <w:p w:rsidR="00F244BA" w:rsidRDefault="00AC19E4">
      <w:pPr>
        <w:pStyle w:val="Naslov4"/>
      </w:pPr>
      <w:r>
        <w:t>A819076 POTICANJE OTOČNOG JAVNOG CESTOVNOG PRIJEVOZA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A819076-POTICANJE OTOČNOG JAVNOG CESTOVNOG PRIJEVOZA</w:t>
            </w:r>
          </w:p>
        </w:tc>
        <w:tc>
          <w:tcPr>
            <w:tcW w:w="2041" w:type="dxa"/>
          </w:tcPr>
          <w:p w:rsidR="00F244BA" w:rsidRDefault="00AC19E4">
            <w:pPr>
              <w:pStyle w:val="CellColumn"/>
              <w:jc w:val="right"/>
            </w:pPr>
            <w:r>
              <w:rPr>
                <w:rFonts w:cs="Times New Roman"/>
              </w:rPr>
              <w:t>4.308.848</w:t>
            </w:r>
          </w:p>
        </w:tc>
        <w:tc>
          <w:tcPr>
            <w:tcW w:w="2041" w:type="dxa"/>
          </w:tcPr>
          <w:p w:rsidR="00F244BA" w:rsidRDefault="00AC19E4">
            <w:pPr>
              <w:pStyle w:val="CellColumn"/>
              <w:jc w:val="right"/>
            </w:pPr>
            <w:r>
              <w:rPr>
                <w:rFonts w:cs="Times New Roman"/>
              </w:rPr>
              <w:t>5.311.566</w:t>
            </w:r>
          </w:p>
        </w:tc>
        <w:tc>
          <w:tcPr>
            <w:tcW w:w="2041" w:type="dxa"/>
          </w:tcPr>
          <w:p w:rsidR="00F244BA" w:rsidRDefault="00AC19E4">
            <w:pPr>
              <w:pStyle w:val="CellColumn"/>
              <w:jc w:val="right"/>
            </w:pPr>
            <w:r>
              <w:rPr>
                <w:rFonts w:cs="Times New Roman"/>
              </w:rPr>
              <w:t>4.368.504</w:t>
            </w:r>
          </w:p>
        </w:tc>
        <w:tc>
          <w:tcPr>
            <w:tcW w:w="1224" w:type="dxa"/>
          </w:tcPr>
          <w:p w:rsidR="00F244BA" w:rsidRDefault="00AC19E4">
            <w:pPr>
              <w:pStyle w:val="CellColumn"/>
              <w:jc w:val="right"/>
            </w:pPr>
            <w:r>
              <w:rPr>
                <w:rFonts w:cs="Times New Roman"/>
              </w:rPr>
              <w:t>82,2</w:t>
            </w:r>
          </w:p>
        </w:tc>
        <w:tc>
          <w:tcPr>
            <w:tcW w:w="1224" w:type="dxa"/>
          </w:tcPr>
          <w:p w:rsidR="00F244BA" w:rsidRDefault="00AC19E4">
            <w:pPr>
              <w:pStyle w:val="CellColumn"/>
              <w:jc w:val="right"/>
            </w:pPr>
            <w:r>
              <w:rPr>
                <w:rFonts w:cs="Times New Roman"/>
              </w:rPr>
              <w:t>101,4</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otocima  </w:t>
      </w:r>
    </w:p>
    <w:p w:rsidR="00F244BA" w:rsidRDefault="00AC19E4">
      <w:r>
        <w:t xml:space="preserve">- Pravilnik o načinu ostvarivanja prava na besplatan javni otočni cestovni prijevoz  </w:t>
      </w:r>
    </w:p>
    <w:p w:rsidR="00F244BA" w:rsidRDefault="00AC19E4">
      <w:r>
        <w:t>- Zakon o prijevozu u cestovnom prometu</w:t>
      </w:r>
    </w:p>
    <w:p w:rsidR="00F244BA" w:rsidRDefault="00AC19E4">
      <w:pPr>
        <w:pStyle w:val="Naslov8"/>
        <w:jc w:val="left"/>
      </w:pPr>
      <w:r>
        <w:t>Opis aktivnosti</w:t>
      </w:r>
    </w:p>
    <w:p w:rsidR="00F244BA" w:rsidRDefault="00AC19E4">
      <w:r>
        <w:t xml:space="preserve">Sukladno odredbama Zakona o prijevozu u cestovnom prometu i Zakona o otocima, Ministarstvo mora, prometa i infrastrukture (u daljnjem tekstu: Ministarstvo) financira prijevoz određenih kategorija stanovništva otočnog  stanovništva (djeca do 8 godina, učenici, studenti, umirovljenici, osobe starije od 65 godina, korisnici domova za starije i nemoćne osobe na otocima, osobe s invaliditetom i djeca s teškoćama u razvoju te osobe koje su u pratnji) koje imaju pravo na besplatni javni otočni cestovni prijevoz.  </w:t>
      </w:r>
    </w:p>
    <w:p w:rsidR="00F244BA" w:rsidRDefault="00AC19E4">
      <w:r>
        <w:t xml:space="preserve">Stupanjem na snagu Pravilnika o načinu ostvarivanja prava na besplatan javni otočni cestovni prijevoz, obalno-otočne jedinice područne (regionalne) samouprave dužne su sklopiti ugovore o obavljanju otočnog cestovnog prijevoza s prijevoznicima i Ministarstvom kojima će se utvrditi maksimalni iznosi za pokriće nadoknade troškova besplatnog prijevoza za korisnike kojima se izdaju pokazi.   </w:t>
      </w:r>
    </w:p>
    <w:p w:rsidR="00F244BA" w:rsidRDefault="00AC19E4">
      <w:r>
        <w:t xml:space="preserve">Na taj se način se postiže redovno održavanje otočnog linijskog cestovnog prijevoza prilagođenog potrebama (najbrojnijih) cjelogodišnjih korisnika što ujedno rezultira boljom mobilnosti cjelokupnog stanovništva te bolju povezanost naselja na otoku i unaprjeđenje unutar otočnog javnog cestovnog prijevoza. Najveći učinak odražava se na otočne obitelji s djecom, jer se, uslijed ujednačavanja troškova prijevoza i rasporeda linija prilagođenih upravo njihovim potrebama, većina učenika/studenata svakodnevno/vikendom vraća svojim obiteljima na otoke, za razliku od prije kada su mnogi već u osnovnoj školi odlazili u veća mjesta i gradove izvan otoka (zbog visokih troškova prijevoza i neodgovarajuće usluge) što je dodatno utjecalo na depopulaciju i iseljavanje radno aktivnih otočnih obitelji. </w:t>
      </w:r>
    </w:p>
    <w:p w:rsidR="00F244BA" w:rsidRDefault="00AC19E4">
      <w:r>
        <w:t>Izvršenje na ovoj aktivnosti je u 2024. godini manje za 943.062 € u odnosu na planirana sredstva jer su obalno-otočne županije stupanjem na snagu Pravilnika o načinu ostvarivanja prava na besplatan javni otočni cestovni prijevoz bile u obvezi sklopiti nove ugovore s prijevoznicima te su kasnili sa zahtjevima za plaćanje. Stupanjem na snagu Pravilnika, sve županije su morale izdati potvrde/rješenja svim korisnicima prava, temeljem kojih su prijevoznici izdavali pokaze. Budući da do kraja 2024. godine nisu izdane sve potvrde/rješenja evidentiran je i manji broj stanovnika otoka koji koriste besplatni otočni javni prijevoz.</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Broj stanovnika</w:t>
            </w:r>
          </w:p>
        </w:tc>
        <w:tc>
          <w:tcPr>
            <w:tcW w:w="2551" w:type="dxa"/>
          </w:tcPr>
          <w:p w:rsidR="00F244BA" w:rsidRDefault="00AC19E4">
            <w:pPr>
              <w:pStyle w:val="CellColumn"/>
              <w:jc w:val="left"/>
            </w:pPr>
            <w:r>
              <w:rPr>
                <w:rFonts w:cs="Times New Roman"/>
              </w:rPr>
              <w:t>Povećanje broja stanovnika otoka koji koriste besplatni otočni javni prijevoz</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50.313</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51.171</w:t>
            </w:r>
          </w:p>
        </w:tc>
        <w:tc>
          <w:tcPr>
            <w:tcW w:w="1020" w:type="dxa"/>
          </w:tcPr>
          <w:p w:rsidR="00F244BA" w:rsidRDefault="00AC19E4">
            <w:pPr>
              <w:pStyle w:val="CellColumn"/>
              <w:jc w:val="right"/>
            </w:pPr>
            <w:r>
              <w:rPr>
                <w:rFonts w:cs="Times New Roman"/>
              </w:rPr>
              <w:t>47.658</w:t>
            </w:r>
          </w:p>
        </w:tc>
      </w:tr>
    </w:tbl>
    <w:p w:rsidR="00F244BA" w:rsidRDefault="00F244BA">
      <w:pPr>
        <w:jc w:val="left"/>
      </w:pPr>
    </w:p>
    <w:p w:rsidR="00F244BA" w:rsidRDefault="00AC19E4">
      <w:pPr>
        <w:pStyle w:val="Naslov4"/>
      </w:pPr>
      <w:r>
        <w:t>A820076 SUFINANCIRANJE JAVNE USLUGE U CESTOVNOM PRIJEVOZU</w:t>
      </w:r>
    </w:p>
    <w:tbl>
      <w:tblPr>
        <w:tblStyle w:val="StilTablice"/>
        <w:tblW w:w="10206" w:type="dxa"/>
        <w:jc w:val="center"/>
        <w:tblLook w:val="04A0" w:firstRow="1" w:lastRow="0" w:firstColumn="1" w:lastColumn="0" w:noHBand="0" w:noVBand="1"/>
      </w:tblPr>
      <w:tblGrid>
        <w:gridCol w:w="1804"/>
        <w:gridCol w:w="1987"/>
        <w:gridCol w:w="1993"/>
        <w:gridCol w:w="1993"/>
        <w:gridCol w:w="1212"/>
        <w:gridCol w:w="1217"/>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A820076-SUFINANCIRANJE JAVNE USLUGE U CESTOVNOM PRIJEVOZU</w:t>
            </w:r>
          </w:p>
        </w:tc>
        <w:tc>
          <w:tcPr>
            <w:tcW w:w="2041" w:type="dxa"/>
          </w:tcPr>
          <w:p w:rsidR="00F244BA" w:rsidRDefault="00AC19E4">
            <w:pPr>
              <w:pStyle w:val="CellColumn"/>
              <w:jc w:val="right"/>
            </w:pPr>
            <w:r>
              <w:rPr>
                <w:rFonts w:cs="Times New Roman"/>
              </w:rPr>
              <w:t>9.865.682</w:t>
            </w:r>
          </w:p>
        </w:tc>
        <w:tc>
          <w:tcPr>
            <w:tcW w:w="2041" w:type="dxa"/>
          </w:tcPr>
          <w:p w:rsidR="00F244BA" w:rsidRDefault="00AC19E4">
            <w:pPr>
              <w:pStyle w:val="CellColumn"/>
              <w:jc w:val="right"/>
            </w:pPr>
            <w:r>
              <w:rPr>
                <w:rFonts w:cs="Times New Roman"/>
              </w:rPr>
              <w:t>13.520.860</w:t>
            </w:r>
          </w:p>
        </w:tc>
        <w:tc>
          <w:tcPr>
            <w:tcW w:w="2041" w:type="dxa"/>
          </w:tcPr>
          <w:p w:rsidR="00F244BA" w:rsidRDefault="00AC19E4">
            <w:pPr>
              <w:pStyle w:val="CellColumn"/>
              <w:jc w:val="right"/>
            </w:pPr>
            <w:r>
              <w:rPr>
                <w:rFonts w:cs="Times New Roman"/>
              </w:rPr>
              <w:t>12.015.143</w:t>
            </w:r>
          </w:p>
        </w:tc>
        <w:tc>
          <w:tcPr>
            <w:tcW w:w="1224" w:type="dxa"/>
          </w:tcPr>
          <w:p w:rsidR="00F244BA" w:rsidRDefault="00AC19E4">
            <w:pPr>
              <w:pStyle w:val="CellColumn"/>
              <w:jc w:val="right"/>
            </w:pPr>
            <w:r>
              <w:rPr>
                <w:rFonts w:cs="Times New Roman"/>
              </w:rPr>
              <w:t>88,9</w:t>
            </w:r>
          </w:p>
        </w:tc>
        <w:tc>
          <w:tcPr>
            <w:tcW w:w="1224" w:type="dxa"/>
          </w:tcPr>
          <w:p w:rsidR="00F244BA" w:rsidRDefault="00AC19E4">
            <w:pPr>
              <w:pStyle w:val="CellColumn"/>
              <w:jc w:val="right"/>
            </w:pPr>
            <w:r>
              <w:rPr>
                <w:rFonts w:cs="Times New Roman"/>
              </w:rPr>
              <w:t>121,8</w:t>
            </w:r>
          </w:p>
        </w:tc>
      </w:tr>
    </w:tbl>
    <w:p w:rsidR="00F244BA" w:rsidRDefault="00F244BA">
      <w:pPr>
        <w:jc w:val="left"/>
      </w:pPr>
    </w:p>
    <w:p w:rsidR="00F244BA" w:rsidRDefault="00AC19E4">
      <w:pPr>
        <w:pStyle w:val="Naslov8"/>
        <w:jc w:val="left"/>
      </w:pPr>
      <w:r>
        <w:t>Zakonske i druge pravne osnove</w:t>
      </w:r>
    </w:p>
    <w:p w:rsidR="00F244BA" w:rsidRDefault="00AC19E4">
      <w:r>
        <w:t xml:space="preserve">- Uredba Europskog parlamenta i Vijeća o uslugama javnog željezničkog i cestovnog prijevoza putnika  </w:t>
      </w:r>
    </w:p>
    <w:p w:rsidR="00F244BA" w:rsidRDefault="00AC19E4">
      <w:r>
        <w:t xml:space="preserve">- Zakon o prijevozu u cestovnom prometu (članak 33.)  </w:t>
      </w:r>
    </w:p>
    <w:p w:rsidR="00F244BA" w:rsidRDefault="00AC19E4">
      <w:r>
        <w:t>- Odluka o iznosima sufinanciranja, mjerilima i kriterijima za sufinanciranje javne usluge u cestovnom prijevozu putnika</w:t>
      </w:r>
    </w:p>
    <w:p w:rsidR="00F244BA" w:rsidRDefault="00AC19E4">
      <w:pPr>
        <w:pStyle w:val="Naslov8"/>
        <w:jc w:val="left"/>
      </w:pPr>
      <w:r>
        <w:t>Opis aktivnosti</w:t>
      </w:r>
    </w:p>
    <w:p w:rsidR="00F244BA" w:rsidRDefault="00AC19E4">
      <w:r>
        <w:t xml:space="preserve">Županijski prijevoz putnika obavlja se na temelju Uredbe (EZ) br. 1370/2007 kao javna usluga ili na temelju dozvole za prijevoz koju nakon provedenog postupka usklađivanja voznih redova izdaje upravno tijelo nadležno za promet jedinice područne (regionalne) samouprave na čijem području se takav prijevoz organizira i obavlja ili na temelju koncesije.  </w:t>
      </w:r>
    </w:p>
    <w:p w:rsidR="00F244BA" w:rsidRDefault="00AC19E4">
      <w:r>
        <w:t xml:space="preserve">Županija, na temelju analize postojeće i potencijalne potražnje, uzimajući u obzir minimalne standarde dostupnosti javnog linijskog prijevoza putnika, izrađuje mrežu linija koja je podloga za sklapanje ugovora o prijevozu kao javnoj usluzi (PSO) te osigurava potrebna sredstva za sufinanciranje planirane mreže linija. Na taj način osigurava se pružanje usluga od općeg interesa krajnjim korisnicima (stanovništvu), koje su redovitije, sigurnije, kvalitetnije ili pružene uz niži trošak od onih koje bi samo tržište moglo ponuditi.   </w:t>
      </w:r>
    </w:p>
    <w:p w:rsidR="00F244BA" w:rsidRDefault="00AC19E4">
      <w:r>
        <w:t xml:space="preserve">Županija, kao naručitelj prijevoza, ima mogućnost prelaska s tržišnog modela, na model javne usluge, potpisivanjem ugovora o javnom linijskom prijevozu putnika (PSO), u svrhu boljeg povezivanja unutar svojih administrativnih granica, ali i izvan njih (do 100 km), ako se za to, temeljem stručnih analiza, pokaže potreba.   </w:t>
      </w:r>
    </w:p>
    <w:p w:rsidR="00F244BA" w:rsidRDefault="00AC19E4">
      <w:r>
        <w:t xml:space="preserve">Podaci iz takve prometne studije su i dio sadržaja Ugovora o javnim uslugama, odnosno obaveze obavljanja javnih usluga na određenom zemljopisnom području, koji ujedno obuhvaća unaprijed, objektivno i transparentno utvrđene parametre za izračun naknade, prirodu i doseg isključivih prava, raspodjelu troškova i raspored prihoda od prodaje karata nadležnom tijelu (županiji) odnosno operateru.  </w:t>
      </w:r>
    </w:p>
    <w:p w:rsidR="00F244BA" w:rsidRDefault="00AC19E4">
      <w:r>
        <w:t>Vlada Republike Hrvatske donijela je Uredbu o postupku sklapanja ugovora o javnim uslugama i Odluku o iznosima sufinanciranja, mjerilima i kriterijima za sufinanciranje javne usluge u cestovnom prijevozu putnika. Temeljem istih, sklopljeni su ugovori o sufinanciranju javne usluge u cestovnom prijevozu putnika i to u skladu s Uredbom 1370/2007. direktnim putem: Sisačko-moslavačka županija, Virovitičko-podravska županija i Bjelovarsko-bilogorska županija, a u 2024. godini su sklopljeni višegodišnji ugovori na rok od 7 godina sa Zagrebačkom županijom, Koprivničko-križevačkom županijom i Šibensko-kninskom županijom.</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Povećanje broja županija koje na svom administrativnom području imaju sklopljen ugovor o javnom linijskom prijevozu putnika u cestovnom prometu kao javnoj usluzi</w:t>
            </w:r>
          </w:p>
        </w:tc>
        <w:tc>
          <w:tcPr>
            <w:tcW w:w="2551" w:type="dxa"/>
          </w:tcPr>
          <w:p w:rsidR="00F244BA" w:rsidRDefault="00AC19E4">
            <w:pPr>
              <w:pStyle w:val="CellColumn"/>
              <w:jc w:val="left"/>
            </w:pPr>
            <w:r>
              <w:rPr>
                <w:rFonts w:cs="Times New Roman"/>
              </w:rPr>
              <w:t>Županije izrađuju mrežu linija koja je podloga za sklapanje ugovora o prijevozu kao javnoj usluzi (PSO), te osiguravaju potrebna sredstva za sufinanciranje planirane mreže. Na taj način osigurava se pružanje usluga od općeg interesa krajnjim korisnicima, koje su redovitije, sigurnije, kvalitetnije ili pružene uz niži trošak od onih koje bi samo tržište moglo ponuditi.</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5</w:t>
            </w:r>
          </w:p>
        </w:tc>
        <w:tc>
          <w:tcPr>
            <w:tcW w:w="1020" w:type="dxa"/>
          </w:tcPr>
          <w:p w:rsidR="00F244BA" w:rsidRDefault="00AC19E4">
            <w:pPr>
              <w:pStyle w:val="CellColumn"/>
              <w:jc w:val="right"/>
            </w:pPr>
            <w:r>
              <w:rPr>
                <w:rFonts w:cs="Times New Roman"/>
              </w:rPr>
              <w:t>6</w:t>
            </w:r>
          </w:p>
        </w:tc>
      </w:tr>
    </w:tbl>
    <w:p w:rsidR="00F244BA" w:rsidRDefault="00F244BA">
      <w:pPr>
        <w:jc w:val="left"/>
      </w:pPr>
    </w:p>
    <w:p w:rsidR="00F244BA" w:rsidRDefault="00AC19E4">
      <w:pPr>
        <w:pStyle w:val="Naslov4"/>
      </w:pPr>
      <w:r>
        <w:t>T820081 NADOKNADA DIJELA TROŠKA DIZELSKOG GORIVA KOJE SE KORISTI KAO POGONSKO GORIVO U KOMERCIJALNOM PRIJEVOZU PUTNIKA</w:t>
      </w:r>
    </w:p>
    <w:tbl>
      <w:tblPr>
        <w:tblStyle w:val="StilTablice"/>
        <w:tblW w:w="10206" w:type="dxa"/>
        <w:jc w:val="center"/>
        <w:tblLook w:val="04A0" w:firstRow="1" w:lastRow="0" w:firstColumn="1" w:lastColumn="0" w:noHBand="0" w:noVBand="1"/>
      </w:tblPr>
      <w:tblGrid>
        <w:gridCol w:w="1848"/>
        <w:gridCol w:w="1976"/>
        <w:gridCol w:w="1982"/>
        <w:gridCol w:w="1976"/>
        <w:gridCol w:w="1209"/>
        <w:gridCol w:w="1215"/>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T820081-NADOKNADA DIJELA TROŠKA DIZELSKOG GORIVA KOJE SE KORISTI KAO POGONSKO GORIVO U KOMERCIJALNOM PRIJEVOZU PUTNIKA</w:t>
            </w:r>
          </w:p>
        </w:tc>
        <w:tc>
          <w:tcPr>
            <w:tcW w:w="2041" w:type="dxa"/>
          </w:tcPr>
          <w:p w:rsidR="00F244BA" w:rsidRDefault="00AC19E4">
            <w:pPr>
              <w:pStyle w:val="CellColumn"/>
              <w:jc w:val="right"/>
            </w:pPr>
            <w:r>
              <w:rPr>
                <w:rFonts w:cs="Times New Roman"/>
              </w:rPr>
              <w:t>9.649.119</w:t>
            </w:r>
          </w:p>
        </w:tc>
        <w:tc>
          <w:tcPr>
            <w:tcW w:w="2041" w:type="dxa"/>
          </w:tcPr>
          <w:p w:rsidR="00F244BA" w:rsidRDefault="00AC19E4">
            <w:pPr>
              <w:pStyle w:val="CellColumn"/>
              <w:jc w:val="right"/>
            </w:pPr>
            <w:r>
              <w:rPr>
                <w:rFonts w:cs="Times New Roman"/>
              </w:rPr>
              <w:t>10.095.000</w:t>
            </w:r>
          </w:p>
        </w:tc>
        <w:tc>
          <w:tcPr>
            <w:tcW w:w="2041" w:type="dxa"/>
          </w:tcPr>
          <w:p w:rsidR="00F244BA" w:rsidRDefault="00AC19E4">
            <w:pPr>
              <w:pStyle w:val="CellColumn"/>
              <w:jc w:val="right"/>
            </w:pPr>
            <w:r>
              <w:rPr>
                <w:rFonts w:cs="Times New Roman"/>
              </w:rPr>
              <w:t>8.812.212</w:t>
            </w:r>
          </w:p>
        </w:tc>
        <w:tc>
          <w:tcPr>
            <w:tcW w:w="1224" w:type="dxa"/>
          </w:tcPr>
          <w:p w:rsidR="00F244BA" w:rsidRDefault="00AC19E4">
            <w:pPr>
              <w:pStyle w:val="CellColumn"/>
              <w:jc w:val="right"/>
            </w:pPr>
            <w:r>
              <w:rPr>
                <w:rFonts w:cs="Times New Roman"/>
              </w:rPr>
              <w:t>87,3</w:t>
            </w:r>
          </w:p>
        </w:tc>
        <w:tc>
          <w:tcPr>
            <w:tcW w:w="1224" w:type="dxa"/>
          </w:tcPr>
          <w:p w:rsidR="00F244BA" w:rsidRDefault="00AC19E4">
            <w:pPr>
              <w:pStyle w:val="CellColumn"/>
              <w:jc w:val="right"/>
            </w:pPr>
            <w:r>
              <w:rPr>
                <w:rFonts w:cs="Times New Roman"/>
              </w:rPr>
              <w:t>91,3</w:t>
            </w:r>
          </w:p>
        </w:tc>
      </w:tr>
    </w:tbl>
    <w:p w:rsidR="00F244BA" w:rsidRDefault="00F244BA">
      <w:pPr>
        <w:jc w:val="left"/>
      </w:pPr>
    </w:p>
    <w:p w:rsidR="00F244BA" w:rsidRDefault="00AC19E4">
      <w:pPr>
        <w:pStyle w:val="Naslov8"/>
        <w:jc w:val="left"/>
      </w:pPr>
      <w:r>
        <w:t>Zakonske i druge pravne osnove</w:t>
      </w:r>
    </w:p>
    <w:p w:rsidR="00F244BA" w:rsidRDefault="00AC19E4">
      <w:r>
        <w:t xml:space="preserve">- Pravilnik o ostvarivanju prava na povrat dijela plaćene trošarine za dizelsko gorivo u komercijalnom prijevozu robe i putnika  </w:t>
      </w:r>
    </w:p>
    <w:p w:rsidR="00F244BA" w:rsidRDefault="00AC19E4">
      <w:r>
        <w:t>- Uredba o nadoknadi dijela troška dizelskog goriva koje se koristi kao pogonsko gorivo u komercijalnom cestovnom prijevozu putnika za razdoblje od 01. travnja 2024. do 31. ožujka 2025.</w:t>
      </w:r>
    </w:p>
    <w:p w:rsidR="00F244BA" w:rsidRDefault="00AC19E4">
      <w:pPr>
        <w:pStyle w:val="Naslov8"/>
        <w:jc w:val="left"/>
      </w:pPr>
      <w:r>
        <w:t>Opis aktivnosti</w:t>
      </w:r>
    </w:p>
    <w:p w:rsidR="00F244BA" w:rsidRDefault="00AC19E4">
      <w:r>
        <w:t xml:space="preserve">S ciljem podrške i pomoći prijevoznicima u očuvanju stabilnosti komercijalnog cestovnog prijevoza putnika, nadoknađuje se dio troškova dizelskog goriva koje se koristi kao pogonsko gorivo u komercijalnom cestovnom prijevozu putnika. Pravo na nadoknadu imaju osobe koje obavljaju komercijalni cestovni prijevoz putnika koje su na temelju odredbi Pravilnika o ostvarivanju prava na povrat dijela plaćene trošarine za dizelsko gorivo u komercijalnom prijevozu robe i putnika  rješenjem Ministarstva financija – Carinske uprave ostvarile pravo na povrat dijela trošarine za razdoblje od 1. travnja 2024. do 31. ožujka 2025. godine, a podatak o broju litara za koje je tim rješenjem utvrđeno pravo povrata trošarine smatra se temeljem za obračun i isplatu nadoknade dijela troška dizelskog goriva temeljem Uredbe o nadoknadi dijela troška dizelskog goriva koje se koristi kao pogonsko gorivo u komercijalnom cestovnom prijevozu putnika za razdoblje od 1. travnja 2024. do 31. ožujka 2025. godine. </w:t>
      </w:r>
    </w:p>
    <w:p w:rsidR="00F244BA" w:rsidRDefault="00AC19E4">
      <w:r>
        <w:t xml:space="preserve"> </w:t>
      </w:r>
    </w:p>
    <w:p w:rsidR="00F244BA" w:rsidRDefault="00AC19E4">
      <w:r>
        <w:t xml:space="preserve">U 2024. godini je rješenjem Ministarstva financija-Carinske uprave odobren povrat plaćene trošarine, dok je obračun i isplata nadoknade dijela troška dizelskog goriva odobren temeljem Uredbe u iznosu od 75% od ukupne količine dizelskog goriva za koje je predmetnim rješenjem utvrđeno pravo povrata trošarine. Za svaki podneseni zahtjev Ministarstvo mora, prometa i infrastrukture izdalo je rješenje. </w:t>
      </w:r>
    </w:p>
    <w:p w:rsidR="00F244BA" w:rsidRDefault="00AC19E4">
      <w:r>
        <w:t xml:space="preserve"> </w:t>
      </w:r>
    </w:p>
    <w:p w:rsidR="00F244BA" w:rsidRDefault="00AC19E4">
      <w:r>
        <w:t>Provedba ove aktivnosti je pokazala dobre rezultate što se potvrđuje i ostvarenom većom vrijednosti od ciljane vrijednosti količine litara subvencioniranog dizelskog goriva.</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Količina subvencioniranog dizelskog goriva koje se koristi kao pogonsko gorivo u komercijalnom cestovnom prijevozu putnika</w:t>
            </w:r>
          </w:p>
        </w:tc>
        <w:tc>
          <w:tcPr>
            <w:tcW w:w="2551" w:type="dxa"/>
          </w:tcPr>
          <w:p w:rsidR="00F244BA" w:rsidRDefault="00AC19E4">
            <w:pPr>
              <w:pStyle w:val="CellColumn"/>
              <w:jc w:val="left"/>
            </w:pPr>
            <w:r>
              <w:rPr>
                <w:rFonts w:cs="Times New Roman"/>
              </w:rPr>
              <w:t>Nadoknada dijela troška dizelskog goriva koje se koristi kao pogonsko gorivo u komercijalnom cestovnom prijevozu putnika osobama koje obavljaju komercijalni cestovni prijevoz putnika koje su na temelju odredbi Pravilnika o ostvarivanju prava na povrat dijela plaćene trošarine za dizelsko gorivo u komercijalnom prijevozu robe i putnika („Narodne novine“, broj 12/19) rješenjem Ministarstva financija – Carinske uprave ostvarile pravo na povrat dijela trošarine za razdoblje od 1. srpnja 2022. do 31. ožujka 2023.</w:t>
            </w:r>
          </w:p>
        </w:tc>
        <w:tc>
          <w:tcPr>
            <w:tcW w:w="1020" w:type="dxa"/>
          </w:tcPr>
          <w:p w:rsidR="00F244BA" w:rsidRDefault="00AC19E4">
            <w:pPr>
              <w:pStyle w:val="CellColumn"/>
              <w:jc w:val="right"/>
            </w:pPr>
            <w:r>
              <w:rPr>
                <w:rFonts w:cs="Times New Roman"/>
              </w:rPr>
              <w:t xml:space="preserve">broj </w:t>
            </w:r>
          </w:p>
          <w:p w:rsidR="00F244BA" w:rsidRDefault="00AC19E4">
            <w:pPr>
              <w:pStyle w:val="CellColumn"/>
              <w:jc w:val="right"/>
            </w:pPr>
            <w:r>
              <w:rPr>
                <w:rFonts w:cs="Times New Roman"/>
              </w:rPr>
              <w:t>litara</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36.000.000</w:t>
            </w:r>
          </w:p>
        </w:tc>
        <w:tc>
          <w:tcPr>
            <w:tcW w:w="1020" w:type="dxa"/>
          </w:tcPr>
          <w:p w:rsidR="00F244BA" w:rsidRDefault="00AC19E4">
            <w:pPr>
              <w:pStyle w:val="CellColumn"/>
              <w:jc w:val="right"/>
            </w:pPr>
            <w:r>
              <w:rPr>
                <w:rFonts w:cs="Times New Roman"/>
              </w:rPr>
              <w:t>55.076.325</w:t>
            </w:r>
          </w:p>
        </w:tc>
      </w:tr>
    </w:tbl>
    <w:p w:rsidR="00F244BA" w:rsidRDefault="00F244BA">
      <w:pPr>
        <w:jc w:val="left"/>
      </w:pPr>
    </w:p>
    <w:p w:rsidR="00F244BA" w:rsidRDefault="00AC19E4">
      <w:pPr>
        <w:pStyle w:val="Naslov4"/>
      </w:pPr>
      <w:r>
        <w:t>T821079 PROMICANJE ŽELJEZNIČKOG PROMETA KROZ POLITIKU ODRŽIVOG PRIJEVOZA I RAZVOJA - "CULTURE ON RAILS TOWARDS GREEN FUTURE"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F244BA">
        <w:trPr>
          <w:jc w:val="center"/>
        </w:trPr>
        <w:tc>
          <w:tcPr>
            <w:tcW w:w="1632" w:type="dxa"/>
            <w:shd w:val="clear" w:color="auto" w:fill="B5C0D8"/>
          </w:tcPr>
          <w:p w:rsidR="00F244BA" w:rsidRDefault="00AC19E4">
            <w:pPr>
              <w:pStyle w:val="CellHeader"/>
              <w:jc w:val="center"/>
            </w:pPr>
            <w:r>
              <w:rPr>
                <w:rFonts w:cs="Times New Roman"/>
              </w:rPr>
              <w:t>Naziv aktivnosti</w:t>
            </w:r>
          </w:p>
        </w:tc>
        <w:tc>
          <w:tcPr>
            <w:tcW w:w="2041" w:type="dxa"/>
            <w:shd w:val="clear" w:color="auto" w:fill="B5C0D8"/>
          </w:tcPr>
          <w:p w:rsidR="00F244BA" w:rsidRDefault="00AC19E4">
            <w:pPr>
              <w:pStyle w:val="CellHeader"/>
              <w:jc w:val="center"/>
            </w:pPr>
            <w:r>
              <w:rPr>
                <w:rFonts w:cs="Times New Roman"/>
              </w:rPr>
              <w:t>Izvršenje 2023. (eur)</w:t>
            </w:r>
          </w:p>
        </w:tc>
        <w:tc>
          <w:tcPr>
            <w:tcW w:w="2041" w:type="dxa"/>
            <w:shd w:val="clear" w:color="auto" w:fill="B5C0D8"/>
          </w:tcPr>
          <w:p w:rsidR="00F244BA" w:rsidRDefault="00AC19E4">
            <w:pPr>
              <w:pStyle w:val="CellHeader"/>
              <w:jc w:val="center"/>
            </w:pPr>
            <w:r>
              <w:rPr>
                <w:rFonts w:cs="Times New Roman"/>
              </w:rPr>
              <w:t>Plan 2024. (eur)</w:t>
            </w:r>
          </w:p>
        </w:tc>
        <w:tc>
          <w:tcPr>
            <w:tcW w:w="2041" w:type="dxa"/>
            <w:shd w:val="clear" w:color="auto" w:fill="B5C0D8"/>
          </w:tcPr>
          <w:p w:rsidR="00F244BA" w:rsidRDefault="00AC19E4">
            <w:pPr>
              <w:pStyle w:val="CellHeader"/>
              <w:jc w:val="center"/>
            </w:pPr>
            <w:r>
              <w:rPr>
                <w:rFonts w:cs="Times New Roman"/>
              </w:rPr>
              <w:t>Izvršenje 2024. (eur)</w:t>
            </w:r>
          </w:p>
        </w:tc>
        <w:tc>
          <w:tcPr>
            <w:tcW w:w="1224" w:type="dxa"/>
            <w:shd w:val="clear" w:color="auto" w:fill="B5C0D8"/>
          </w:tcPr>
          <w:p w:rsidR="00F244BA" w:rsidRDefault="00AC19E4">
            <w:pPr>
              <w:pStyle w:val="CellHeader"/>
              <w:jc w:val="center"/>
            </w:pPr>
            <w:r>
              <w:rPr>
                <w:rFonts w:cs="Times New Roman"/>
              </w:rPr>
              <w:t>Indeks izvršenje 2024./plan 2024.</w:t>
            </w:r>
          </w:p>
        </w:tc>
        <w:tc>
          <w:tcPr>
            <w:tcW w:w="1224" w:type="dxa"/>
            <w:shd w:val="clear" w:color="auto" w:fill="B5C0D8"/>
          </w:tcPr>
          <w:p w:rsidR="00F244BA" w:rsidRDefault="00AC19E4">
            <w:pPr>
              <w:pStyle w:val="CellHeader"/>
              <w:jc w:val="center"/>
            </w:pPr>
            <w:r>
              <w:rPr>
                <w:rFonts w:cs="Times New Roman"/>
              </w:rPr>
              <w:t>Indeks izvršenje 2024./2023.</w:t>
            </w:r>
          </w:p>
        </w:tc>
      </w:tr>
      <w:tr w:rsidR="00F244BA">
        <w:trPr>
          <w:jc w:val="center"/>
        </w:trPr>
        <w:tc>
          <w:tcPr>
            <w:tcW w:w="1632" w:type="dxa"/>
          </w:tcPr>
          <w:p w:rsidR="00F244BA" w:rsidRDefault="00AC19E4">
            <w:pPr>
              <w:pStyle w:val="CellColumn"/>
              <w:jc w:val="left"/>
            </w:pPr>
            <w:r>
              <w:rPr>
                <w:rFonts w:cs="Times New Roman"/>
              </w:rPr>
              <w:t>T821079-PROMICANJE ŽELJEZNIČKOG PROMETA KROZ POLITIKU ODRŽIVOG PRIJEVOZA I RAZVOJA - "CULTURE ON RAILS TOWARDS GREEN FUTURE"</w:t>
            </w:r>
          </w:p>
        </w:tc>
        <w:tc>
          <w:tcPr>
            <w:tcW w:w="2041" w:type="dxa"/>
          </w:tcPr>
          <w:p w:rsidR="00F244BA" w:rsidRDefault="00AC19E4">
            <w:pPr>
              <w:pStyle w:val="CellColumn"/>
              <w:jc w:val="right"/>
            </w:pPr>
            <w:r>
              <w:rPr>
                <w:rFonts w:cs="Times New Roman"/>
              </w:rPr>
              <w:t>00</w:t>
            </w:r>
          </w:p>
        </w:tc>
        <w:tc>
          <w:tcPr>
            <w:tcW w:w="2041" w:type="dxa"/>
          </w:tcPr>
          <w:p w:rsidR="00F244BA" w:rsidRDefault="00AC19E4">
            <w:pPr>
              <w:pStyle w:val="CellColumn"/>
              <w:jc w:val="right"/>
            </w:pPr>
            <w:r>
              <w:rPr>
                <w:rFonts w:cs="Times New Roman"/>
              </w:rPr>
              <w:t>45.961</w:t>
            </w:r>
          </w:p>
        </w:tc>
        <w:tc>
          <w:tcPr>
            <w:tcW w:w="2041"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c>
          <w:tcPr>
            <w:tcW w:w="1224" w:type="dxa"/>
          </w:tcPr>
          <w:p w:rsidR="00F244BA" w:rsidRDefault="00AC19E4">
            <w:pPr>
              <w:pStyle w:val="CellColumn"/>
              <w:jc w:val="right"/>
            </w:pPr>
            <w:r>
              <w:rPr>
                <w:rFonts w:cs="Times New Roman"/>
              </w:rPr>
              <w:t>0,0</w:t>
            </w:r>
          </w:p>
        </w:tc>
      </w:tr>
    </w:tbl>
    <w:p w:rsidR="00F244BA" w:rsidRDefault="00F244BA">
      <w:pPr>
        <w:jc w:val="left"/>
      </w:pPr>
    </w:p>
    <w:p w:rsidR="00F244BA" w:rsidRDefault="00AC19E4">
      <w:pPr>
        <w:pStyle w:val="Naslov8"/>
        <w:jc w:val="left"/>
      </w:pPr>
      <w:r>
        <w:t>Zakonske i druge pravne osnove</w:t>
      </w:r>
    </w:p>
    <w:p w:rsidR="00F244BA" w:rsidRDefault="00AC19E4">
      <w:r>
        <w:t xml:space="preserve">- Zakon o željeznici  </w:t>
      </w:r>
    </w:p>
    <w:p w:rsidR="00F244BA" w:rsidRDefault="00AC19E4">
      <w:r>
        <w:t>- Strategija prometnog razvoja Republike Hrvatske za razdoblje od 2017. do 2030. godine</w:t>
      </w:r>
    </w:p>
    <w:p w:rsidR="00F244BA" w:rsidRDefault="00AC19E4">
      <w:pPr>
        <w:pStyle w:val="Naslov8"/>
        <w:jc w:val="left"/>
      </w:pPr>
      <w:r>
        <w:t>Opis aktivnosti</w:t>
      </w:r>
    </w:p>
    <w:p w:rsidR="00F244BA" w:rsidRDefault="00AC19E4">
      <w:r>
        <w:t xml:space="preserve">Cilj projekta „Culture on rails towards green future“ je promicanje prijevoza željeznicom kao održive vrste prometa kroz kulturno umjetničke sadržaje, omogućavanje bolje dostupnosti informacija o prednostima prijevoza željeznicom i kulturnih sadržaja u manje razvijenim zajednicama, povezivanje zajednica, umjetnika i putnika željeznicom te dijeljenje resursa za otvaranje novih mogućnosti za suradnju. Ovim projektom želi se podići razina svijesti putnika i drugih dionika o prednostima korištenja prijevoza željeznicom kao ekološkom, održivom i ekonomičnijom vrstom prijevoza. </w:t>
      </w:r>
    </w:p>
    <w:p w:rsidR="00F244BA" w:rsidRDefault="00AC19E4">
      <w:r>
        <w:t xml:space="preserve">Ciljevi projekta nadovezuju se na opće i specifične ciljeve navedene u Strategiji prometnog razvoja Republike Hrvatske za razdoblje 2017. do 2030. godine, a koji su usmjereni na smanjenje utjecaja prometnog sustava na klimatske promjene i okoliš (okolišna održivost), povećanje sigurnosti i interoperabilnosti prometnog sustava. </w:t>
      </w:r>
    </w:p>
    <w:p w:rsidR="00F244BA" w:rsidRDefault="00AC19E4">
      <w:r>
        <w:t xml:space="preserve">Ministarstvo mora, prometa i infrastrukture u suradnji s Ministarstvom kulture, kroz projekt iz CREA programa, promiče željeznički promet kao održiv, zelen i odgovoran način prijevoza putnika i robe. </w:t>
      </w:r>
    </w:p>
    <w:p w:rsidR="00F244BA" w:rsidRDefault="00AC19E4">
      <w:r>
        <w:t xml:space="preserve">Projekt je trebao započeti u 2024.godini, ali zbog izmjene sudionika na projektu isti nije realiziran već je prolongiran na 2025. godinu. Potrebno je pristupiti detaljnoj razradi aktivnosti u Grant Agreement-u, a isti se planira potpisati u narednom razdoblju. </w:t>
      </w:r>
    </w:p>
    <w:p w:rsidR="00F244BA" w:rsidRDefault="00AC19E4">
      <w:r>
        <w:t>Projekt će započeti u 2025. godini, a završetak je planiran do 1. ožujka 2027. godine.</w:t>
      </w:r>
    </w:p>
    <w:p w:rsidR="00F244BA" w:rsidRDefault="00AC19E4">
      <w:pPr>
        <w:pStyle w:val="Naslov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F244BA">
        <w:trPr>
          <w:jc w:val="center"/>
        </w:trPr>
        <w:tc>
          <w:tcPr>
            <w:tcW w:w="2551" w:type="dxa"/>
            <w:shd w:val="clear" w:color="auto" w:fill="B5C0D8"/>
          </w:tcPr>
          <w:p w:rsidR="00F244BA" w:rsidRDefault="00AC19E4">
            <w:pPr>
              <w:jc w:val="center"/>
            </w:pPr>
            <w:r>
              <w:t>Pokazatelj rezultata</w:t>
            </w:r>
          </w:p>
        </w:tc>
        <w:tc>
          <w:tcPr>
            <w:tcW w:w="2551" w:type="dxa"/>
            <w:shd w:val="clear" w:color="auto" w:fill="B5C0D8"/>
          </w:tcPr>
          <w:p w:rsidR="00F244BA" w:rsidRDefault="00AC19E4">
            <w:pPr>
              <w:pStyle w:val="CellHeader"/>
              <w:jc w:val="center"/>
            </w:pPr>
            <w:r>
              <w:rPr>
                <w:rFonts w:cs="Times New Roman"/>
              </w:rPr>
              <w:t>Definicija</w:t>
            </w:r>
          </w:p>
        </w:tc>
        <w:tc>
          <w:tcPr>
            <w:tcW w:w="1020" w:type="dxa"/>
            <w:shd w:val="clear" w:color="auto" w:fill="B5C0D8"/>
          </w:tcPr>
          <w:p w:rsidR="00F244BA" w:rsidRDefault="00AC19E4">
            <w:pPr>
              <w:pStyle w:val="CellHeader"/>
              <w:jc w:val="center"/>
            </w:pPr>
            <w:r>
              <w:rPr>
                <w:rFonts w:cs="Times New Roman"/>
              </w:rPr>
              <w:t>Jedinica</w:t>
            </w:r>
          </w:p>
        </w:tc>
        <w:tc>
          <w:tcPr>
            <w:tcW w:w="1020" w:type="dxa"/>
            <w:shd w:val="clear" w:color="auto" w:fill="B5C0D8"/>
          </w:tcPr>
          <w:p w:rsidR="00F244BA" w:rsidRDefault="00AC19E4">
            <w:pPr>
              <w:pStyle w:val="CellHeader"/>
              <w:jc w:val="center"/>
            </w:pPr>
            <w:r>
              <w:rPr>
                <w:rFonts w:cs="Times New Roman"/>
              </w:rPr>
              <w:t>Polazna vrijednost</w:t>
            </w:r>
          </w:p>
        </w:tc>
        <w:tc>
          <w:tcPr>
            <w:tcW w:w="1020" w:type="dxa"/>
            <w:shd w:val="clear" w:color="auto" w:fill="B5C0D8"/>
          </w:tcPr>
          <w:p w:rsidR="00F244BA" w:rsidRDefault="00AC19E4">
            <w:pPr>
              <w:pStyle w:val="CellHeader"/>
              <w:jc w:val="center"/>
            </w:pPr>
            <w:r>
              <w:rPr>
                <w:rFonts w:cs="Times New Roman"/>
              </w:rPr>
              <w:t>Izvor podataka</w:t>
            </w:r>
          </w:p>
        </w:tc>
        <w:tc>
          <w:tcPr>
            <w:tcW w:w="1020" w:type="dxa"/>
            <w:shd w:val="clear" w:color="auto" w:fill="B5C0D8"/>
          </w:tcPr>
          <w:p w:rsidR="00F244BA" w:rsidRDefault="00AC19E4">
            <w:pPr>
              <w:pStyle w:val="CellHeader"/>
              <w:jc w:val="center"/>
            </w:pPr>
            <w:r>
              <w:rPr>
                <w:rFonts w:cs="Times New Roman"/>
              </w:rPr>
              <w:t>Ciljana vrijednost (2024.)</w:t>
            </w:r>
          </w:p>
        </w:tc>
        <w:tc>
          <w:tcPr>
            <w:tcW w:w="1020" w:type="dxa"/>
            <w:shd w:val="clear" w:color="auto" w:fill="B5C0D8"/>
          </w:tcPr>
          <w:p w:rsidR="00F244BA" w:rsidRDefault="00AC19E4">
            <w:pPr>
              <w:pStyle w:val="CellHeader"/>
              <w:jc w:val="center"/>
            </w:pPr>
            <w:r>
              <w:rPr>
                <w:rFonts w:cs="Times New Roman"/>
              </w:rPr>
              <w:t>Ostvarena vrijednost (2024.)</w:t>
            </w:r>
          </w:p>
        </w:tc>
      </w:tr>
      <w:tr w:rsidR="00F244BA">
        <w:trPr>
          <w:jc w:val="center"/>
        </w:trPr>
        <w:tc>
          <w:tcPr>
            <w:tcW w:w="2551" w:type="dxa"/>
          </w:tcPr>
          <w:p w:rsidR="00F244BA" w:rsidRDefault="00AC19E4">
            <w:pPr>
              <w:pStyle w:val="CellColumn"/>
              <w:jc w:val="left"/>
            </w:pPr>
            <w:r>
              <w:rPr>
                <w:rFonts w:cs="Times New Roman"/>
              </w:rPr>
              <w:t>Izvršenje plana aktivnosti projekta koje će biti razrađene Grant Agreementom</w:t>
            </w:r>
          </w:p>
        </w:tc>
        <w:tc>
          <w:tcPr>
            <w:tcW w:w="2551" w:type="dxa"/>
          </w:tcPr>
          <w:p w:rsidR="00F244BA" w:rsidRDefault="00AC19E4">
            <w:pPr>
              <w:pStyle w:val="CellColumn"/>
              <w:jc w:val="left"/>
            </w:pPr>
            <w:r>
              <w:rPr>
                <w:rFonts w:cs="Times New Roman"/>
              </w:rPr>
              <w:t>Izvršenje 7 aktivnosti predviđene Grant Agreementom, a koje uključuju: upravljačku strukturu, komunikaciju i širenje informacija, razvoj metodologije, istraživanje i razvoj priče, rezidencije za stvaranje, obilazak i sažetak</w:t>
            </w:r>
          </w:p>
        </w:tc>
        <w:tc>
          <w:tcPr>
            <w:tcW w:w="1020" w:type="dxa"/>
          </w:tcPr>
          <w:p w:rsidR="00F244BA" w:rsidRDefault="00AC19E4">
            <w:pPr>
              <w:pStyle w:val="CellColumn"/>
              <w:jc w:val="right"/>
            </w:pPr>
            <w:r>
              <w:rPr>
                <w:rFonts w:cs="Times New Roman"/>
              </w:rPr>
              <w:t>broj</w:t>
            </w:r>
          </w:p>
        </w:tc>
        <w:tc>
          <w:tcPr>
            <w:tcW w:w="1020" w:type="dxa"/>
          </w:tcPr>
          <w:p w:rsidR="00F244BA" w:rsidRDefault="00AC19E4">
            <w:pPr>
              <w:pStyle w:val="CellColumn"/>
              <w:jc w:val="right"/>
            </w:pPr>
            <w:r>
              <w:rPr>
                <w:rFonts w:cs="Times New Roman"/>
              </w:rPr>
              <w:t>0</w:t>
            </w:r>
          </w:p>
        </w:tc>
        <w:tc>
          <w:tcPr>
            <w:tcW w:w="1020" w:type="dxa"/>
          </w:tcPr>
          <w:p w:rsidR="00F244BA" w:rsidRDefault="00AC19E4">
            <w:pPr>
              <w:pStyle w:val="CellColumn"/>
              <w:jc w:val="right"/>
            </w:pPr>
            <w:r>
              <w:rPr>
                <w:rFonts w:cs="Times New Roman"/>
              </w:rPr>
              <w:t>MMPI</w:t>
            </w:r>
          </w:p>
        </w:tc>
        <w:tc>
          <w:tcPr>
            <w:tcW w:w="1020" w:type="dxa"/>
          </w:tcPr>
          <w:p w:rsidR="00F244BA" w:rsidRDefault="00AC19E4">
            <w:pPr>
              <w:pStyle w:val="CellColumn"/>
              <w:jc w:val="right"/>
            </w:pPr>
            <w:r>
              <w:rPr>
                <w:rFonts w:cs="Times New Roman"/>
              </w:rPr>
              <w:t>1</w:t>
            </w:r>
          </w:p>
        </w:tc>
        <w:tc>
          <w:tcPr>
            <w:tcW w:w="1020" w:type="dxa"/>
          </w:tcPr>
          <w:p w:rsidR="00F244BA" w:rsidRDefault="00AC19E4">
            <w:pPr>
              <w:pStyle w:val="CellColumn"/>
              <w:jc w:val="right"/>
            </w:pPr>
            <w:r>
              <w:rPr>
                <w:rFonts w:cs="Times New Roman"/>
              </w:rPr>
              <w:t>0</w:t>
            </w:r>
          </w:p>
        </w:tc>
      </w:tr>
    </w:tbl>
    <w:p w:rsidR="00F244BA" w:rsidRDefault="00F244BA">
      <w:pPr>
        <w:jc w:val="left"/>
      </w:pPr>
    </w:p>
    <w:sectPr w:rsidR="00F244BA"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Pr="00D769ED" w:rsidRDefault="001E37A3" w:rsidP="007D4430">
    <w:pPr>
      <w:pStyle w:val="Podnoje"/>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98" w:rsidRDefault="001E37A3"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13A1A"/>
    <w:rsid w:val="0002533C"/>
    <w:rsid w:val="000352D6"/>
    <w:rsid w:val="000C0A6C"/>
    <w:rsid w:val="0010779D"/>
    <w:rsid w:val="0013155A"/>
    <w:rsid w:val="0017490A"/>
    <w:rsid w:val="001E37A3"/>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AC19E4"/>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244B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semiHidden/>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semiHidden/>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CE76-213E-4DCE-AE56-28135E83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50754</Words>
  <Characters>289298</Characters>
  <Application>Microsoft Office Word</Application>
  <DocSecurity>0</DocSecurity>
  <Lines>2410</Lines>
  <Paragraphs>678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Andreja Sladoljev</cp:lastModifiedBy>
  <cp:revision>2</cp:revision>
  <dcterms:created xsi:type="dcterms:W3CDTF">2025-08-07T12:59:00Z</dcterms:created>
  <dcterms:modified xsi:type="dcterms:W3CDTF">2025-08-07T12:59:00Z</dcterms:modified>
</cp:coreProperties>
</file>